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C1" w:rsidRDefault="004B3CC1">
      <w:pPr>
        <w:spacing w:line="360" w:lineRule="auto"/>
        <w:ind w:firstLineChars="50" w:firstLine="120"/>
        <w:jc w:val="left"/>
        <w:rPr>
          <w:rFonts w:ascii="宋体" w:hAnsi="宋体"/>
          <w:sz w:val="24"/>
        </w:rPr>
      </w:pPr>
    </w:p>
    <w:p w:rsidR="004B3CC1" w:rsidRDefault="00DB2F50">
      <w:pPr>
        <w:spacing w:line="360" w:lineRule="auto"/>
        <w:jc w:val="center"/>
        <w:rPr>
          <w:rFonts w:ascii="宋体" w:hAnsi="宋体"/>
          <w:b/>
          <w:kern w:val="0"/>
          <w:sz w:val="28"/>
          <w:szCs w:val="28"/>
        </w:rPr>
      </w:pPr>
      <w:r>
        <w:rPr>
          <w:rFonts w:ascii="宋体" w:hAnsi="宋体" w:hint="eastAsia"/>
          <w:b/>
          <w:kern w:val="0"/>
          <w:sz w:val="28"/>
          <w:szCs w:val="28"/>
        </w:rPr>
        <w:t>“</w:t>
      </w:r>
      <w:r w:rsidR="00F407B2">
        <w:rPr>
          <w:rFonts w:ascii="宋体" w:hAnsi="宋体" w:hint="eastAsia"/>
          <w:b/>
          <w:kern w:val="0"/>
          <w:sz w:val="28"/>
          <w:szCs w:val="28"/>
        </w:rPr>
        <w:t>汽车运用与维修</w:t>
      </w:r>
      <w:r w:rsidR="0077776C">
        <w:rPr>
          <w:rFonts w:ascii="宋体" w:hAnsi="宋体" w:hint="eastAsia"/>
          <w:b/>
          <w:kern w:val="0"/>
          <w:sz w:val="28"/>
          <w:szCs w:val="28"/>
        </w:rPr>
        <w:t>1+X</w:t>
      </w:r>
      <w:r w:rsidR="00F407B2">
        <w:rPr>
          <w:rFonts w:ascii="宋体" w:hAnsi="宋体" w:hint="eastAsia"/>
          <w:b/>
          <w:kern w:val="0"/>
          <w:sz w:val="28"/>
          <w:szCs w:val="28"/>
        </w:rPr>
        <w:t>证书职业技能等级考证</w:t>
      </w:r>
      <w:r>
        <w:rPr>
          <w:rFonts w:ascii="宋体" w:hAnsi="宋体" w:hint="eastAsia"/>
          <w:b/>
          <w:kern w:val="0"/>
          <w:sz w:val="28"/>
          <w:szCs w:val="28"/>
        </w:rPr>
        <w:t>”补充急需设备采购用户需求书</w:t>
      </w:r>
    </w:p>
    <w:p w:rsidR="004B3CC1" w:rsidRDefault="00DB2F50">
      <w:pPr>
        <w:tabs>
          <w:tab w:val="left" w:pos="3210"/>
        </w:tabs>
        <w:spacing w:line="360" w:lineRule="auto"/>
        <w:rPr>
          <w:rFonts w:ascii="宋体" w:hAnsi="宋体" w:cs="Arial"/>
          <w:b/>
        </w:rPr>
      </w:pPr>
      <w:bookmarkStart w:id="0" w:name="_Toc481150026"/>
      <w:r>
        <w:rPr>
          <w:rFonts w:hAnsi="宋体" w:hint="eastAsia"/>
          <w:snapToGrid w:val="0"/>
          <w:kern w:val="0"/>
        </w:rPr>
        <w:t>一、</w:t>
      </w:r>
      <w:r>
        <w:rPr>
          <w:rFonts w:ascii="宋体" w:hAnsi="宋体" w:cs="Arial" w:hint="eastAsia"/>
          <w:b/>
        </w:rPr>
        <w:t>投标人资格：</w:t>
      </w:r>
    </w:p>
    <w:p w:rsidR="004B3CC1" w:rsidRDefault="00DB2F50">
      <w:pPr>
        <w:autoSpaceDE w:val="0"/>
        <w:autoSpaceDN w:val="0"/>
        <w:spacing w:line="360" w:lineRule="auto"/>
        <w:outlineLvl w:val="0"/>
        <w:rPr>
          <w:rFonts w:ascii="Arial" w:hAnsi="Arial" w:cs="Arial"/>
          <w:bCs/>
          <w:szCs w:val="21"/>
          <w:lang w:val="zh-CN"/>
        </w:rPr>
      </w:pPr>
      <w:r>
        <w:rPr>
          <w:rFonts w:ascii="Arial" w:hAnsi="Arial" w:cs="Arial"/>
          <w:bCs/>
          <w:szCs w:val="21"/>
          <w:lang w:val="zh-CN"/>
        </w:rPr>
        <w:t>1</w:t>
      </w:r>
      <w:r>
        <w:rPr>
          <w:rFonts w:ascii="Arial" w:hAnsi="Arial" w:cs="Arial"/>
          <w:bCs/>
          <w:szCs w:val="21"/>
          <w:lang w:val="zh-CN"/>
        </w:rPr>
        <w:t>、投标人必须符合《中华人民共和国政府采购法》第二十二条规定的条件；</w:t>
      </w:r>
    </w:p>
    <w:p w:rsidR="004B3CC1" w:rsidRDefault="00DB2F50">
      <w:pPr>
        <w:autoSpaceDN w:val="0"/>
        <w:spacing w:line="360" w:lineRule="auto"/>
        <w:ind w:firstLineChars="104" w:firstLine="218"/>
        <w:rPr>
          <w:rFonts w:ascii="Arial" w:hAnsi="Arial" w:cs="Arial"/>
          <w:bCs/>
          <w:szCs w:val="21"/>
          <w:lang w:val="zh-CN"/>
        </w:rPr>
      </w:pPr>
      <w:r>
        <w:rPr>
          <w:rFonts w:ascii="Arial" w:hAnsi="Arial" w:cs="Arial"/>
          <w:bCs/>
          <w:szCs w:val="21"/>
          <w:lang w:val="zh-CN"/>
        </w:rPr>
        <w:t>①</w:t>
      </w:r>
      <w:r>
        <w:rPr>
          <w:rFonts w:ascii="Arial" w:hAnsi="Arial" w:cs="Arial"/>
          <w:bCs/>
          <w:szCs w:val="21"/>
          <w:lang w:val="zh-CN"/>
        </w:rPr>
        <w:t>具有独立承担民事责任的能力；</w:t>
      </w:r>
    </w:p>
    <w:p w:rsidR="004B3CC1" w:rsidRDefault="00DB2F50">
      <w:pPr>
        <w:tabs>
          <w:tab w:val="left" w:pos="6019"/>
        </w:tabs>
        <w:autoSpaceDN w:val="0"/>
        <w:spacing w:line="360" w:lineRule="auto"/>
        <w:ind w:firstLineChars="104" w:firstLine="218"/>
        <w:rPr>
          <w:rFonts w:ascii="Arial" w:hAnsi="Arial" w:cs="Arial"/>
          <w:bCs/>
          <w:szCs w:val="21"/>
          <w:lang w:val="zh-CN"/>
        </w:rPr>
      </w:pPr>
      <w:r>
        <w:rPr>
          <w:rFonts w:ascii="Arial" w:hAnsi="Arial" w:cs="Arial"/>
          <w:bCs/>
          <w:szCs w:val="21"/>
          <w:lang w:val="zh-CN"/>
        </w:rPr>
        <w:t>②</w:t>
      </w:r>
      <w:r>
        <w:rPr>
          <w:rFonts w:ascii="Arial" w:hAnsi="Arial" w:cs="Arial"/>
          <w:bCs/>
          <w:szCs w:val="21"/>
          <w:lang w:val="zh-CN"/>
        </w:rPr>
        <w:t>具有良好的商业信誉和健全的</w:t>
      </w:r>
      <w:hyperlink r:id="rId8" w:history="1">
        <w:r>
          <w:rPr>
            <w:rFonts w:ascii="Arial" w:hAnsi="Arial" w:cs="Arial"/>
            <w:bCs/>
            <w:szCs w:val="21"/>
            <w:lang w:val="zh-CN"/>
          </w:rPr>
          <w:t>财务制度</w:t>
        </w:r>
      </w:hyperlink>
      <w:r>
        <w:rPr>
          <w:rFonts w:ascii="Arial" w:hAnsi="Arial" w:cs="Arial"/>
          <w:bCs/>
          <w:szCs w:val="21"/>
          <w:lang w:val="zh-CN"/>
        </w:rPr>
        <w:t>；</w:t>
      </w:r>
      <w:r>
        <w:rPr>
          <w:rFonts w:ascii="Arial" w:hAnsi="Arial" w:cs="Arial"/>
          <w:bCs/>
          <w:szCs w:val="21"/>
          <w:lang w:val="zh-CN"/>
        </w:rPr>
        <w:tab/>
      </w:r>
    </w:p>
    <w:p w:rsidR="004B3CC1" w:rsidRDefault="00DB2F50">
      <w:pPr>
        <w:autoSpaceDN w:val="0"/>
        <w:spacing w:line="360" w:lineRule="auto"/>
        <w:ind w:firstLineChars="104" w:firstLine="218"/>
        <w:rPr>
          <w:rFonts w:ascii="Arial" w:hAnsi="Arial" w:cs="Arial"/>
          <w:bCs/>
          <w:szCs w:val="21"/>
          <w:lang w:val="zh-CN"/>
        </w:rPr>
      </w:pPr>
      <w:r>
        <w:rPr>
          <w:rFonts w:ascii="Arial" w:hAnsi="Arial" w:cs="Arial"/>
          <w:bCs/>
          <w:szCs w:val="21"/>
          <w:lang w:val="zh-CN"/>
        </w:rPr>
        <w:t>③</w:t>
      </w:r>
      <w:r>
        <w:rPr>
          <w:rFonts w:ascii="Arial" w:hAnsi="Arial" w:cs="Arial"/>
          <w:bCs/>
          <w:szCs w:val="21"/>
          <w:lang w:val="zh-CN"/>
        </w:rPr>
        <w:t>具有履行合同所必需的设备和专业技术能力；</w:t>
      </w:r>
    </w:p>
    <w:p w:rsidR="004B3CC1" w:rsidRDefault="00DB2F50">
      <w:pPr>
        <w:autoSpaceDN w:val="0"/>
        <w:spacing w:line="360" w:lineRule="auto"/>
        <w:ind w:firstLineChars="104" w:firstLine="218"/>
        <w:rPr>
          <w:rFonts w:ascii="Arial" w:hAnsi="Arial" w:cs="Arial"/>
          <w:bCs/>
          <w:szCs w:val="21"/>
          <w:lang w:val="zh-CN"/>
        </w:rPr>
      </w:pPr>
      <w:r>
        <w:rPr>
          <w:rFonts w:ascii="Arial" w:hAnsi="Arial" w:cs="Arial"/>
          <w:bCs/>
          <w:szCs w:val="21"/>
          <w:lang w:val="zh-CN"/>
        </w:rPr>
        <w:t>④</w:t>
      </w:r>
      <w:r>
        <w:rPr>
          <w:rFonts w:ascii="Arial" w:hAnsi="Arial" w:cs="Arial"/>
          <w:bCs/>
          <w:szCs w:val="21"/>
          <w:lang w:val="zh-CN"/>
        </w:rPr>
        <w:t>有依法缴纳税收和社会保障资金的良好记录；</w:t>
      </w:r>
    </w:p>
    <w:p w:rsidR="004B3CC1" w:rsidRDefault="00DB2F50">
      <w:pPr>
        <w:autoSpaceDN w:val="0"/>
        <w:spacing w:line="360" w:lineRule="auto"/>
        <w:ind w:firstLineChars="104" w:firstLine="218"/>
        <w:rPr>
          <w:rFonts w:ascii="Arial" w:hAnsi="Arial" w:cs="Arial"/>
          <w:bCs/>
          <w:szCs w:val="21"/>
          <w:lang w:val="zh-CN"/>
        </w:rPr>
      </w:pPr>
      <w:r>
        <w:rPr>
          <w:rFonts w:ascii="Arial" w:hAnsi="Arial" w:cs="Arial"/>
          <w:bCs/>
          <w:szCs w:val="21"/>
          <w:lang w:val="zh-CN"/>
        </w:rPr>
        <w:t>⑤</w:t>
      </w:r>
      <w:r>
        <w:rPr>
          <w:rFonts w:ascii="Arial" w:hAnsi="Arial" w:cs="Arial"/>
          <w:bCs/>
          <w:szCs w:val="21"/>
          <w:lang w:val="zh-CN"/>
        </w:rPr>
        <w:t>参加政府采购活动前三年内，在经营活动中没有重大违法记录；</w:t>
      </w:r>
    </w:p>
    <w:p w:rsidR="004B3CC1" w:rsidRDefault="00DB2F50">
      <w:pPr>
        <w:autoSpaceDE w:val="0"/>
        <w:autoSpaceDN w:val="0"/>
        <w:spacing w:line="360" w:lineRule="auto"/>
        <w:ind w:firstLineChars="104" w:firstLine="218"/>
        <w:rPr>
          <w:rFonts w:ascii="Arial" w:hAnsi="Arial" w:cs="Arial"/>
          <w:bCs/>
          <w:szCs w:val="21"/>
          <w:lang w:val="zh-CN"/>
        </w:rPr>
      </w:pPr>
      <w:r>
        <w:rPr>
          <w:rFonts w:ascii="Arial" w:hAnsi="Arial" w:cs="Arial"/>
          <w:bCs/>
          <w:szCs w:val="21"/>
          <w:lang w:val="zh-CN"/>
        </w:rPr>
        <w:t>⑥</w:t>
      </w:r>
      <w:r>
        <w:rPr>
          <w:rFonts w:ascii="Arial" w:hAnsi="Arial" w:cs="Arial"/>
          <w:bCs/>
          <w:szCs w:val="21"/>
          <w:lang w:val="zh-CN"/>
        </w:rPr>
        <w:t>法律、行政法规规定的其他条件。</w:t>
      </w:r>
    </w:p>
    <w:p w:rsidR="004B3CC1" w:rsidRDefault="00DB2F50">
      <w:pPr>
        <w:numPr>
          <w:ilvl w:val="0"/>
          <w:numId w:val="2"/>
        </w:numPr>
        <w:tabs>
          <w:tab w:val="left" w:pos="3210"/>
        </w:tabs>
        <w:spacing w:line="360" w:lineRule="auto"/>
        <w:rPr>
          <w:rFonts w:ascii="宋体" w:hAnsi="宋体"/>
          <w:bCs/>
          <w:lang w:val="zh-CN"/>
        </w:rPr>
      </w:pPr>
      <w:r>
        <w:rPr>
          <w:rFonts w:ascii="宋体" w:hAnsi="宋体" w:hint="eastAsia"/>
          <w:bCs/>
          <w:lang w:val="zh-CN"/>
        </w:rPr>
        <w:t>投标人必须具有独立承担民事责任能力的在中华人民共和国境内注册的法人；</w:t>
      </w:r>
    </w:p>
    <w:p w:rsidR="004B3CC1" w:rsidRDefault="00DB2F50">
      <w:pPr>
        <w:numPr>
          <w:ilvl w:val="0"/>
          <w:numId w:val="3"/>
        </w:numPr>
        <w:tabs>
          <w:tab w:val="left" w:pos="3210"/>
        </w:tabs>
        <w:spacing w:line="360" w:lineRule="auto"/>
        <w:rPr>
          <w:rFonts w:ascii="宋体" w:hAnsi="宋体"/>
          <w:bCs/>
          <w:lang w:val="zh-CN"/>
        </w:rPr>
      </w:pPr>
      <w:r>
        <w:rPr>
          <w:rFonts w:ascii="宋体" w:hAnsi="宋体" w:hint="eastAsia"/>
          <w:bCs/>
          <w:lang w:val="zh-CN"/>
        </w:rPr>
        <w:t>投标人未被列入“信用中国”网站</w:t>
      </w:r>
      <w:r>
        <w:rPr>
          <w:rFonts w:ascii="宋体" w:hAnsi="宋体"/>
          <w:bCs/>
          <w:lang w:val="zh-CN"/>
        </w:rPr>
        <w:t>(www.creditchina.gov.cn)“失信被执行人或重大税收违法案件当事人名单或政府采购严重违法失信行为”记录名单；没有处于中国政府采购网(www.ccgp.gov.cn)“政府采购严重违法失信行为信息记录”中的禁止参加政府采购活动期间。（以评审委员会于评审当日在“信用中国”网站（www.creditchina.gov.cn）及中国政府采购网（http://www.ccgp.gov.cn/）查询结果为准，如查询结果未显示存在失信记录，视为评审时未发现不良信用记录）。</w:t>
      </w:r>
    </w:p>
    <w:p w:rsidR="004B3CC1" w:rsidRDefault="00DB2F50">
      <w:pPr>
        <w:numPr>
          <w:ilvl w:val="0"/>
          <w:numId w:val="3"/>
        </w:numPr>
        <w:tabs>
          <w:tab w:val="left" w:pos="3210"/>
        </w:tabs>
        <w:spacing w:line="360" w:lineRule="auto"/>
        <w:rPr>
          <w:rFonts w:ascii="宋体" w:hAnsi="宋体"/>
          <w:bCs/>
          <w:lang w:val="zh-CN"/>
        </w:rPr>
      </w:pPr>
      <w:r>
        <w:rPr>
          <w:rFonts w:ascii="宋体" w:hAnsi="宋体" w:hint="eastAsia"/>
          <w:bCs/>
          <w:lang w:val="zh-CN"/>
        </w:rPr>
        <w:t>本项目不接受联合体投标。</w:t>
      </w:r>
    </w:p>
    <w:p w:rsidR="004B3CC1" w:rsidRDefault="00DB2F50">
      <w:pPr>
        <w:autoSpaceDE w:val="0"/>
        <w:autoSpaceDN w:val="0"/>
        <w:spacing w:line="360" w:lineRule="auto"/>
        <w:rPr>
          <w:rFonts w:ascii="宋体" w:hAnsi="宋体" w:cs="Arial"/>
          <w:b/>
        </w:rPr>
      </w:pPr>
      <w:r>
        <w:rPr>
          <w:rFonts w:ascii="宋体" w:hAnsi="宋体" w:hint="eastAsia"/>
          <w:b/>
          <w:lang w:val="zh-CN"/>
        </w:rPr>
        <w:t>二、采购项</w:t>
      </w:r>
      <w:r>
        <w:rPr>
          <w:rFonts w:ascii="宋体" w:hAnsi="宋体" w:cs="Arial" w:hint="eastAsia"/>
          <w:b/>
        </w:rPr>
        <w:t>目技术规格、参数及数量要求：</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2"/>
        <w:gridCol w:w="1650"/>
        <w:gridCol w:w="5625"/>
        <w:gridCol w:w="836"/>
        <w:gridCol w:w="900"/>
      </w:tblGrid>
      <w:tr w:rsidR="004B3CC1">
        <w:trPr>
          <w:trHeight w:val="570"/>
        </w:trPr>
        <w:tc>
          <w:tcPr>
            <w:tcW w:w="692" w:type="dxa"/>
            <w:tcBorders>
              <w:top w:val="single" w:sz="4" w:space="0" w:color="000000"/>
              <w:left w:val="single" w:sz="4" w:space="0" w:color="000000"/>
              <w:bottom w:val="single" w:sz="4" w:space="0" w:color="000000"/>
              <w:right w:val="single" w:sz="4" w:space="0" w:color="000000"/>
            </w:tcBorders>
            <w:vAlign w:val="center"/>
          </w:tcPr>
          <w:bookmarkEnd w:id="0"/>
          <w:p w:rsidR="004B3CC1" w:rsidRDefault="00DB2F50">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4"/>
              </w:rPr>
            </w:pPr>
            <w:r>
              <w:rPr>
                <w:rFonts w:ascii="宋体" w:hAnsi="宋体" w:cs="宋体" w:hint="eastAsia"/>
                <w:color w:val="000000"/>
                <w:kern w:val="0"/>
                <w:sz w:val="24"/>
                <w:lang w:bidi="ar"/>
              </w:rPr>
              <w:t>材料名称</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4"/>
              </w:rPr>
            </w:pPr>
            <w:r>
              <w:rPr>
                <w:rFonts w:ascii="宋体" w:hAnsi="宋体" w:cs="宋体" w:hint="eastAsia"/>
                <w:color w:val="000000"/>
                <w:kern w:val="0"/>
                <w:sz w:val="24"/>
                <w:lang w:bidi="ar"/>
              </w:rPr>
              <w:t>型号/规格</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r>
      <w:tr w:rsidR="004B3CC1">
        <w:trPr>
          <w:trHeight w:val="285"/>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汽修磁力棒（强磁拾取器）</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最大可吸1KG </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长度约60cm</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任意弯曲;</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强磁；</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 </w:t>
            </w:r>
          </w:p>
        </w:tc>
      </w:tr>
      <w:tr w:rsidR="004B3CC1">
        <w:trPr>
          <w:trHeight w:val="285"/>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汽缸异响听诊器</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材质为不锈钢和塑胶</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探测频率范围：10HZ-10KHZ；</w:t>
            </w:r>
          </w:p>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主机720mm</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探针210mm;</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5 </w:t>
            </w:r>
          </w:p>
        </w:tc>
      </w:tr>
      <w:tr w:rsidR="004B3CC1">
        <w:trPr>
          <w:trHeight w:val="285"/>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卷形弹簧压缩器</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产品材质为45#钢</w:t>
            </w:r>
          </w:p>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长度为380mm</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40件星批组套组合工具</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型号：汽修批咀组套(40PCS);  </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材质为S2合金钢</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标准为GB国标</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规格为40件套</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长批头长度约75mm；包含如下型号</w:t>
            </w:r>
            <w:r>
              <w:rPr>
                <w:rFonts w:ascii="宋体" w:hAnsi="宋体" w:cs="宋体"/>
                <w:color w:val="000000"/>
                <w:kern w:val="0"/>
                <w:sz w:val="20"/>
                <w:szCs w:val="20"/>
                <w:lang w:bidi="ar"/>
              </w:rPr>
              <w:t>H4 H5 H6 H7 H8 H10 H12</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 xml:space="preserve">T20 </w:t>
            </w:r>
            <w:r>
              <w:rPr>
                <w:rFonts w:ascii="宋体" w:hAnsi="宋体" w:cs="宋体"/>
                <w:color w:val="000000"/>
                <w:kern w:val="0"/>
                <w:sz w:val="20"/>
                <w:szCs w:val="20"/>
                <w:lang w:bidi="ar"/>
              </w:rPr>
              <w:lastRenderedPageBreak/>
              <w:t xml:space="preserve">T25 T30 T40 T45 T50 T55 </w:t>
            </w:r>
            <w:r>
              <w:rPr>
                <w:rFonts w:ascii="宋体" w:hAnsi="宋体" w:cs="宋体" w:hint="eastAsia"/>
                <w:color w:val="000000"/>
                <w:kern w:val="0"/>
                <w:sz w:val="20"/>
                <w:szCs w:val="20"/>
                <w:lang w:bidi="ar"/>
              </w:rPr>
              <w:t>M</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M6</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M8</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M10</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M12</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短批头长度约30mm；包含如下型号</w:t>
            </w:r>
            <w:r>
              <w:rPr>
                <w:rFonts w:ascii="宋体" w:hAnsi="宋体" w:cs="宋体"/>
                <w:color w:val="000000"/>
                <w:kern w:val="0"/>
                <w:sz w:val="20"/>
                <w:szCs w:val="20"/>
                <w:lang w:bidi="ar"/>
              </w:rPr>
              <w:t>H4 H5 H6 H7 H8 H10 H12</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 xml:space="preserve">T20 T25 T30 T40 T45 T50 T55 </w:t>
            </w:r>
            <w:r>
              <w:rPr>
                <w:rFonts w:ascii="宋体" w:hAnsi="宋体" w:cs="宋体" w:hint="eastAsia"/>
                <w:color w:val="000000"/>
                <w:kern w:val="0"/>
                <w:sz w:val="20"/>
                <w:szCs w:val="20"/>
                <w:lang w:bidi="ar"/>
              </w:rPr>
              <w:t>M</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M6</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M8</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M10</w:t>
            </w:r>
            <w:r>
              <w:rPr>
                <w:rFonts w:ascii="宋体" w:hAnsi="宋体" w:cs="宋体" w:hint="eastAsia"/>
                <w:color w:val="000000"/>
                <w:kern w:val="0"/>
                <w:sz w:val="20"/>
                <w:szCs w:val="20"/>
                <w:lang w:bidi="ar"/>
              </w:rPr>
              <w:t xml:space="preserve"> </w:t>
            </w:r>
            <w:r>
              <w:rPr>
                <w:rFonts w:ascii="宋体" w:hAnsi="宋体" w:cs="宋体"/>
                <w:color w:val="000000"/>
                <w:kern w:val="0"/>
                <w:sz w:val="20"/>
                <w:szCs w:val="20"/>
                <w:lang w:bidi="ar"/>
              </w:rPr>
              <w:t>M12</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盒</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4B3CC1">
        <w:trPr>
          <w:trHeight w:val="285"/>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sz w:val="20"/>
                <w:szCs w:val="20"/>
              </w:rPr>
            </w:pPr>
            <w:r>
              <w:rPr>
                <w:rFonts w:ascii="宋体" w:hAnsi="宋体" w:cs="宋体" w:hint="eastAsia"/>
                <w:kern w:val="0"/>
                <w:sz w:val="20"/>
                <w:szCs w:val="20"/>
                <w:lang w:bidi="ar"/>
              </w:rPr>
              <w:t>方孔洞洞板挂钩汽修工具储存架</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kern w:val="0"/>
                <w:sz w:val="20"/>
                <w:szCs w:val="20"/>
                <w:lang w:bidi="ar"/>
              </w:rPr>
            </w:pPr>
            <w:r>
              <w:rPr>
                <w:rFonts w:ascii="宋体" w:hAnsi="宋体" w:cs="宋体" w:hint="eastAsia"/>
                <w:kern w:val="0"/>
                <w:sz w:val="20"/>
                <w:szCs w:val="20"/>
                <w:lang w:bidi="ar"/>
              </w:rPr>
              <w:t>材质: 金属</w:t>
            </w:r>
          </w:p>
          <w:p w:rsidR="004B3CC1" w:rsidRDefault="00DB2F5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框架尺寸：1230* 400*1830                                洞洞板尺寸：1230*1030                </w:t>
            </w:r>
            <w:r>
              <w:rPr>
                <w:rFonts w:ascii="宋体" w:hAnsi="宋体" w:cs="宋体"/>
                <w:kern w:val="0"/>
                <w:sz w:val="20"/>
                <w:szCs w:val="20"/>
                <w:lang w:bidi="ar"/>
              </w:rPr>
              <w:t xml:space="preserve">                  </w:t>
            </w:r>
            <w:r>
              <w:rPr>
                <w:noProof/>
              </w:rPr>
              <w:drawing>
                <wp:inline distT="0" distB="0" distL="0" distR="0">
                  <wp:extent cx="1565910" cy="1497330"/>
                  <wp:effectExtent l="0" t="0" r="0" b="7620"/>
                  <wp:docPr id="16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69720" cy="1501140"/>
                          </a:xfrm>
                          <a:prstGeom prst="rect">
                            <a:avLst/>
                          </a:prstGeom>
                          <a:noFill/>
                          <a:ln>
                            <a:noFill/>
                          </a:ln>
                        </pic:spPr>
                      </pic:pic>
                    </a:graphicData>
                  </a:graphic>
                </wp:inline>
              </w:drawing>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 </w:t>
            </w:r>
          </w:p>
        </w:tc>
      </w:tr>
      <w:tr w:rsidR="004B3CC1">
        <w:trPr>
          <w:trHeight w:val="120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方孔工具架挂板导线套装5</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Cs w:val="21"/>
              </w:rPr>
            </w:pPr>
            <w:r>
              <w:rPr>
                <w:rFonts w:ascii="宋体" w:hAnsi="宋体" w:cs="宋体" w:hint="eastAsia"/>
                <w:color w:val="000000"/>
                <w:szCs w:val="21"/>
              </w:rPr>
              <w:t>清单如下：</w:t>
            </w:r>
          </w:p>
          <w:tbl>
            <w:tblPr>
              <w:tblpPr w:leftFromText="180" w:rightFromText="180" w:vertAnchor="text" w:horzAnchor="page" w:tblpXSpec="center" w:tblpY="393"/>
              <w:tblOverlap w:val="never"/>
              <w:tblW w:w="4539" w:type="dxa"/>
              <w:jc w:val="center"/>
              <w:tblLayout w:type="fixed"/>
              <w:tblCellMar>
                <w:left w:w="0" w:type="dxa"/>
                <w:right w:w="0" w:type="dxa"/>
              </w:tblCellMar>
              <w:tblLook w:val="04A0" w:firstRow="1" w:lastRow="0" w:firstColumn="1" w:lastColumn="0" w:noHBand="0" w:noVBand="1"/>
            </w:tblPr>
            <w:tblGrid>
              <w:gridCol w:w="1861"/>
              <w:gridCol w:w="1280"/>
              <w:gridCol w:w="1398"/>
            </w:tblGrid>
            <w:tr w:rsidR="004B3CC1">
              <w:trPr>
                <w:trHeight w:val="227"/>
                <w:jc w:val="center"/>
              </w:trPr>
              <w:tc>
                <w:tcPr>
                  <w:tcW w:w="18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品名</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u w:val="single"/>
                    </w:rPr>
                  </w:pPr>
                  <w:r>
                    <w:rPr>
                      <w:rFonts w:ascii="宋体" w:hAnsi="宋体" w:cs="宋体" w:hint="eastAsia"/>
                      <w:color w:val="000000"/>
                      <w:kern w:val="0"/>
                      <w:szCs w:val="21"/>
                      <w:u w:val="single"/>
                      <w:lang w:bidi="ar"/>
                    </w:rPr>
                    <w:t>规格mm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r>
            <w:tr w:rsidR="004B3CC1">
              <w:trPr>
                <w:trHeight w:val="227"/>
                <w:jc w:val="center"/>
              </w:trPr>
              <w:tc>
                <w:tcPr>
                  <w:tcW w:w="1861"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单直挂钩</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25mm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50mm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75mm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lOOmm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150mm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227"/>
                <w:jc w:val="center"/>
              </w:trPr>
              <w:tc>
                <w:tcPr>
                  <w:tcW w:w="18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套筒挂钩</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4B3CC1">
              <w:trPr>
                <w:trHeight w:val="227"/>
                <w:jc w:val="center"/>
              </w:trPr>
              <w:tc>
                <w:tcPr>
                  <w:tcW w:w="1861"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圆形挂钩</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直径40mm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直径60mm </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u型挂钩</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23*35mm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23*55mm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70*35mm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双直挂钩</w:t>
                  </w:r>
                </w:p>
              </w:tc>
              <w:tc>
                <w:tcPr>
                  <w:tcW w:w="1280" w:type="dxa"/>
                  <w:tcBorders>
                    <w:top w:val="nil"/>
                    <w:left w:val="nil"/>
                    <w:bottom w:val="nil"/>
                    <w:right w:val="nil"/>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25mm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50mm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75mm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100mm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150mm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镀锌型小层板</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扳手架</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380mm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钻头架</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150mm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螺丝刀架</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380mm</w:t>
                  </w: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27"/>
                <w:jc w:val="center"/>
              </w:trPr>
              <w:tc>
                <w:tcPr>
                  <w:tcW w:w="18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六杆挂钩</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241"/>
                <w:jc w:val="center"/>
              </w:trPr>
              <w:tc>
                <w:tcPr>
                  <w:tcW w:w="18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内六角扳手架</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39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bl>
          <w:p w:rsidR="004B3CC1" w:rsidRDefault="004B3CC1">
            <w:pPr>
              <w:widowControl/>
              <w:jc w:val="left"/>
              <w:textAlignment w:val="center"/>
              <w:rPr>
                <w:rFonts w:ascii="宋体" w:hAnsi="宋体" w:cs="宋体"/>
                <w:color w:val="000000"/>
                <w:sz w:val="20"/>
                <w:szCs w:val="20"/>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方孔工具架挂板挂钩套装10</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Cs w:val="21"/>
                <w:lang w:bidi="ar"/>
              </w:rPr>
            </w:pPr>
            <w:r>
              <w:rPr>
                <w:rFonts w:ascii="宋体" w:hAnsi="宋体" w:cs="宋体" w:hint="eastAsia"/>
                <w:color w:val="000000"/>
                <w:szCs w:val="21"/>
              </w:rPr>
              <w:t>清单如下：</w:t>
            </w:r>
          </w:p>
          <w:tbl>
            <w:tblPr>
              <w:tblpPr w:leftFromText="180" w:rightFromText="180" w:vertAnchor="text" w:horzAnchor="page" w:tblpX="628" w:tblpY="22"/>
              <w:tblOverlap w:val="never"/>
              <w:tblW w:w="3839" w:type="dxa"/>
              <w:tblLayout w:type="fixed"/>
              <w:tblCellMar>
                <w:left w:w="0" w:type="dxa"/>
                <w:right w:w="0" w:type="dxa"/>
              </w:tblCellMar>
              <w:tblLook w:val="04A0" w:firstRow="1" w:lastRow="0" w:firstColumn="1" w:lastColumn="0" w:noHBand="0" w:noVBand="1"/>
            </w:tblPr>
            <w:tblGrid>
              <w:gridCol w:w="1574"/>
              <w:gridCol w:w="1083"/>
              <w:gridCol w:w="1182"/>
            </w:tblGrid>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品名</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u w:val="single"/>
                    </w:rPr>
                  </w:pPr>
                  <w:r>
                    <w:rPr>
                      <w:rFonts w:ascii="宋体" w:hAnsi="宋体" w:cs="宋体" w:hint="eastAsia"/>
                      <w:color w:val="000000"/>
                      <w:kern w:val="0"/>
                      <w:szCs w:val="21"/>
                      <w:u w:val="single"/>
                      <w:lang w:bidi="ar"/>
                    </w:rPr>
                    <w:t>规格mm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r>
            <w:tr w:rsidR="004B3CC1">
              <w:trPr>
                <w:trHeight w:val="308"/>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单直挂钩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25mm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50mm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75mm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lOOmm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150m 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套有挂钩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锯用挂钩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一对</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杆托架</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直径60mm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一对</w:t>
                  </w:r>
                </w:p>
              </w:tc>
            </w:tr>
            <w:tr w:rsidR="004B3CC1">
              <w:trPr>
                <w:trHeight w:val="308"/>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圆形挂钩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直径40mm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直径60mm </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u型挂钩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23*35mm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23*55mm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70*35mm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导线架</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100mm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150mm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六角圆形</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直径60mm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双直挂钩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50mm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75mm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r>
            <w:tr w:rsidR="004B3CC1">
              <w:trPr>
                <w:trHeight w:val="308"/>
              </w:trPr>
              <w:tc>
                <w:tcPr>
                  <w:tcW w:w="1574" w:type="dxa"/>
                  <w:vMerge/>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100mm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扳手架</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145mm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钻头刀架</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380mm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蜂丝刀架</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 380mm</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内六角扳手架</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六杆挂钩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308"/>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角磨机挂钩</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4B3CC1">
                  <w:pPr>
                    <w:jc w:val="center"/>
                    <w:rPr>
                      <w:rFonts w:ascii="宋体" w:hAnsi="宋体" w:cs="宋体"/>
                      <w:color w:val="000000"/>
                      <w:szCs w:val="21"/>
                    </w:rPr>
                  </w:pP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r>
            <w:tr w:rsidR="004B3CC1">
              <w:trPr>
                <w:trHeight w:val="601"/>
              </w:trPr>
              <w:tc>
                <w:tcPr>
                  <w:tcW w:w="1574"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零件盒挂片</w:t>
                  </w:r>
                </w:p>
              </w:tc>
              <w:tc>
                <w:tcPr>
                  <w:tcW w:w="108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4号盒（红/黄）各5个〃</w:t>
                  </w:r>
                </w:p>
              </w:tc>
              <w:tc>
                <w:tcPr>
                  <w:tcW w:w="118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B3CC1" w:rsidRDefault="00DB2F5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10盒子，10个挂片</w:t>
                  </w:r>
                </w:p>
              </w:tc>
            </w:tr>
          </w:tbl>
          <w:p w:rsidR="004B3CC1" w:rsidRDefault="004B3CC1">
            <w:pPr>
              <w:widowControl/>
              <w:jc w:val="left"/>
              <w:textAlignment w:val="center"/>
              <w:rPr>
                <w:rFonts w:ascii="宋体" w:hAnsi="宋体" w:cs="宋体"/>
                <w:color w:val="000000"/>
                <w:sz w:val="20"/>
                <w:szCs w:val="20"/>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外径千分尺</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量程：20-50mm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分度值：0.01</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把</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游标卡尺</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量程</w:t>
            </w:r>
            <w:r>
              <w:rPr>
                <w:rFonts w:ascii="宋体" w:hAnsi="宋体" w:cs="宋体"/>
                <w:color w:val="000000"/>
                <w:kern w:val="0"/>
                <w:sz w:val="20"/>
                <w:szCs w:val="20"/>
                <w:lang w:bidi="ar"/>
              </w:rPr>
              <w:t>:150</w:t>
            </w:r>
            <w:r>
              <w:rPr>
                <w:rFonts w:ascii="宋体" w:hAnsi="宋体" w:cs="宋体" w:hint="eastAsia"/>
                <w:color w:val="000000"/>
                <w:kern w:val="0"/>
                <w:sz w:val="20"/>
                <w:szCs w:val="20"/>
                <w:lang w:bidi="ar"/>
              </w:rPr>
              <w:t>mm</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分辨率：0.02mm</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表面处理：镀铬精抛</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把</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10</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角向磨光机</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电源方式</w:t>
            </w:r>
            <w:r>
              <w:rPr>
                <w:rFonts w:ascii="宋体" w:hAnsi="宋体" w:cs="宋体"/>
                <w:color w:val="000000"/>
                <w:kern w:val="0"/>
                <w:sz w:val="20"/>
                <w:szCs w:val="20"/>
                <w:lang w:bidi="ar"/>
              </w:rPr>
              <w:t>:</w:t>
            </w:r>
            <w:r>
              <w:rPr>
                <w:rFonts w:ascii="宋体" w:hAnsi="宋体" w:cs="宋体" w:hint="eastAsia"/>
                <w:color w:val="000000"/>
                <w:kern w:val="0"/>
                <w:sz w:val="20"/>
                <w:szCs w:val="20"/>
                <w:lang w:bidi="ar"/>
              </w:rPr>
              <w:t>交流电</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操作方式：手持式</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额定电压：220V</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额定功率：850W</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额定转速：13000r</w:t>
            </w:r>
            <w:r>
              <w:rPr>
                <w:rFonts w:ascii="宋体" w:hAnsi="宋体" w:cs="宋体"/>
                <w:color w:val="000000"/>
                <w:kern w:val="0"/>
                <w:sz w:val="20"/>
                <w:szCs w:val="20"/>
                <w:lang w:bidi="ar"/>
              </w:rPr>
              <w:t>/min</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开关左置</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手握周长195mm</w:t>
            </w:r>
          </w:p>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总长约260mm</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把</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11</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汽车维修保养三件套叶子板护垫</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前片尺寸：135cm*65cm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  左右片尺寸：115*65cm</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套</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12</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防静电台垫</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绿黑1.2m*10m*3mm</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卷</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防静电台垫</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绿黑0.5m*10m*3mm</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卷</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14</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弯杆</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1/2-14寸L型弯杆</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条</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氧传感器套筒</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长度19mm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  1/2方口（12.5mm）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 外径32mm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开口8mm  </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个</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16</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发动机燃油管</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橡胶管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耐高压管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耐汽油管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油管外径14mm             </w:t>
            </w:r>
            <w:r>
              <w:rPr>
                <w:rFonts w:ascii="宋体" w:hAnsi="宋体" w:cs="宋体"/>
                <w:color w:val="000000"/>
                <w:kern w:val="0"/>
                <w:sz w:val="20"/>
                <w:szCs w:val="20"/>
                <w:lang w:bidi="ar"/>
              </w:rPr>
              <w:t xml:space="preserve">                           </w:t>
            </w:r>
            <w:r>
              <w:rPr>
                <w:rFonts w:ascii="宋体" w:hAnsi="宋体" w:cs="宋体" w:hint="eastAsia"/>
                <w:color w:val="000000"/>
                <w:kern w:val="0"/>
                <w:sz w:val="20"/>
                <w:szCs w:val="20"/>
                <w:lang w:bidi="ar"/>
              </w:rPr>
              <w:t xml:space="preserve">  油管内径8mm</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米</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17</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304</w:t>
            </w:r>
            <w:r>
              <w:rPr>
                <w:rFonts w:cs="Arial" w:hint="eastAsia"/>
                <w:sz w:val="20"/>
                <w:szCs w:val="20"/>
              </w:rPr>
              <w:t>不锈钢卡箍</w:t>
            </w:r>
            <w:r>
              <w:rPr>
                <w:rFonts w:cs="Arial" w:hint="eastAsia"/>
                <w:sz w:val="20"/>
                <w:szCs w:val="20"/>
              </w:rPr>
              <w:t xml:space="preserve"> </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Arial" w:hAnsi="Arial" w:cs="Arial"/>
                <w:sz w:val="20"/>
                <w:szCs w:val="20"/>
              </w:rPr>
              <w:t>8-12mm</w:t>
            </w:r>
            <w:r>
              <w:rPr>
                <w:rFonts w:cs="Arial" w:hint="eastAsia"/>
                <w:sz w:val="20"/>
                <w:szCs w:val="20"/>
              </w:rPr>
              <w:t>（宽</w:t>
            </w:r>
            <w:r>
              <w:rPr>
                <w:rFonts w:cs="Arial" w:hint="eastAsia"/>
                <w:sz w:val="20"/>
                <w:szCs w:val="20"/>
              </w:rPr>
              <w:t>8mm</w:t>
            </w:r>
            <w:r>
              <w:rPr>
                <w:rFonts w:cs="Arial" w:hint="eastAsia"/>
                <w:sz w:val="20"/>
                <w:szCs w:val="20"/>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只</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18</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304</w:t>
            </w:r>
            <w:r>
              <w:rPr>
                <w:rFonts w:cs="Arial" w:hint="eastAsia"/>
                <w:sz w:val="20"/>
                <w:szCs w:val="20"/>
              </w:rPr>
              <w:t>不锈钢卡箍</w:t>
            </w:r>
            <w:r>
              <w:rPr>
                <w:rFonts w:cs="Arial" w:hint="eastAsia"/>
                <w:sz w:val="20"/>
                <w:szCs w:val="20"/>
              </w:rPr>
              <w:t xml:space="preserve"> </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Arial" w:hAnsi="Arial" w:cs="Arial"/>
                <w:sz w:val="20"/>
                <w:szCs w:val="20"/>
              </w:rPr>
              <w:t>10-16mm</w:t>
            </w:r>
            <w:r>
              <w:rPr>
                <w:rFonts w:cs="Arial" w:hint="eastAsia"/>
                <w:sz w:val="20"/>
                <w:szCs w:val="20"/>
              </w:rPr>
              <w:t>（宽</w:t>
            </w:r>
            <w:r>
              <w:rPr>
                <w:rFonts w:cs="Arial" w:hint="eastAsia"/>
                <w:sz w:val="20"/>
                <w:szCs w:val="20"/>
              </w:rPr>
              <w:t>8mm</w:t>
            </w:r>
            <w:r>
              <w:rPr>
                <w:rFonts w:cs="Arial" w:hint="eastAsia"/>
                <w:sz w:val="20"/>
                <w:szCs w:val="20"/>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只</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19</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304</w:t>
            </w:r>
            <w:r>
              <w:rPr>
                <w:rFonts w:cs="Arial" w:hint="eastAsia"/>
                <w:sz w:val="20"/>
                <w:szCs w:val="20"/>
              </w:rPr>
              <w:t>不锈钢卡箍</w:t>
            </w:r>
            <w:r>
              <w:rPr>
                <w:rFonts w:cs="Arial" w:hint="eastAsia"/>
                <w:sz w:val="20"/>
                <w:szCs w:val="20"/>
              </w:rPr>
              <w:t xml:space="preserve"> </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ascii="Arial" w:hAnsi="Arial" w:cs="Arial"/>
                <w:sz w:val="20"/>
                <w:szCs w:val="20"/>
              </w:rPr>
              <w:t>16-25mm</w:t>
            </w:r>
            <w:r>
              <w:rPr>
                <w:rFonts w:cs="Arial" w:hint="eastAsia"/>
                <w:sz w:val="20"/>
                <w:szCs w:val="20"/>
              </w:rPr>
              <w:t>（宽</w:t>
            </w:r>
            <w:r>
              <w:rPr>
                <w:rFonts w:cs="Arial" w:hint="eastAsia"/>
                <w:sz w:val="20"/>
                <w:szCs w:val="20"/>
              </w:rPr>
              <w:t>8mm</w:t>
            </w:r>
            <w:r>
              <w:rPr>
                <w:rFonts w:cs="Arial" w:hint="eastAsia"/>
                <w:sz w:val="20"/>
                <w:szCs w:val="20"/>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只</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国标</w:t>
            </w:r>
            <w:r>
              <w:rPr>
                <w:rFonts w:cs="Arial" w:hint="eastAsia"/>
                <w:sz w:val="20"/>
                <w:szCs w:val="20"/>
              </w:rPr>
              <w:t>RV</w:t>
            </w:r>
            <w:r>
              <w:rPr>
                <w:rFonts w:cs="Arial" w:hint="eastAsia"/>
                <w:sz w:val="20"/>
                <w:szCs w:val="20"/>
              </w:rPr>
              <w:t>软铜线</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型号</w:t>
            </w:r>
            <w:r>
              <w:rPr>
                <w:rFonts w:ascii="Arial" w:hAnsi="Arial" w:cs="Arial"/>
                <w:sz w:val="20"/>
                <w:szCs w:val="20"/>
              </w:rPr>
              <w:t xml:space="preserve">: RV0.5                                            </w:t>
            </w:r>
            <w:r>
              <w:rPr>
                <w:rFonts w:cs="Arial" w:hint="eastAsia"/>
                <w:sz w:val="20"/>
                <w:szCs w:val="20"/>
              </w:rPr>
              <w:t>颜色：红色</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米</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100</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21</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国标</w:t>
            </w:r>
            <w:r>
              <w:rPr>
                <w:rFonts w:cs="Arial" w:hint="eastAsia"/>
                <w:sz w:val="20"/>
                <w:szCs w:val="20"/>
              </w:rPr>
              <w:t>RV</w:t>
            </w:r>
            <w:r>
              <w:rPr>
                <w:rFonts w:cs="Arial" w:hint="eastAsia"/>
                <w:sz w:val="20"/>
                <w:szCs w:val="20"/>
              </w:rPr>
              <w:t>软铜线</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型号</w:t>
            </w:r>
            <w:r>
              <w:rPr>
                <w:rFonts w:ascii="Arial" w:hAnsi="Arial" w:cs="Arial"/>
                <w:sz w:val="20"/>
                <w:szCs w:val="20"/>
              </w:rPr>
              <w:t xml:space="preserve">: RV0.5                                            </w:t>
            </w:r>
            <w:r>
              <w:rPr>
                <w:rFonts w:cs="Arial" w:hint="eastAsia"/>
                <w:sz w:val="20"/>
                <w:szCs w:val="20"/>
              </w:rPr>
              <w:t>颜色：黑色</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米</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100</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22</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国标</w:t>
            </w:r>
            <w:r>
              <w:rPr>
                <w:rFonts w:cs="Arial" w:hint="eastAsia"/>
                <w:sz w:val="20"/>
                <w:szCs w:val="20"/>
              </w:rPr>
              <w:t>RV</w:t>
            </w:r>
            <w:r>
              <w:rPr>
                <w:rFonts w:cs="Arial" w:hint="eastAsia"/>
                <w:sz w:val="20"/>
                <w:szCs w:val="20"/>
              </w:rPr>
              <w:t>软铜线</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型号</w:t>
            </w:r>
            <w:r>
              <w:rPr>
                <w:rFonts w:ascii="Arial" w:hAnsi="Arial" w:cs="Arial"/>
                <w:sz w:val="20"/>
                <w:szCs w:val="20"/>
              </w:rPr>
              <w:t xml:space="preserve">: RV0.3                                            </w:t>
            </w:r>
            <w:r>
              <w:rPr>
                <w:rFonts w:cs="Arial" w:hint="eastAsia"/>
                <w:sz w:val="20"/>
                <w:szCs w:val="20"/>
              </w:rPr>
              <w:t>颜色：红色</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米</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100</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23</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国标</w:t>
            </w:r>
            <w:r>
              <w:rPr>
                <w:rFonts w:cs="Arial" w:hint="eastAsia"/>
                <w:sz w:val="20"/>
                <w:szCs w:val="20"/>
              </w:rPr>
              <w:t>RV</w:t>
            </w:r>
            <w:r>
              <w:rPr>
                <w:rFonts w:cs="Arial" w:hint="eastAsia"/>
                <w:sz w:val="20"/>
                <w:szCs w:val="20"/>
              </w:rPr>
              <w:t>软铜线</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kern w:val="0"/>
                <w:sz w:val="20"/>
                <w:szCs w:val="20"/>
                <w:lang w:bidi="ar"/>
              </w:rPr>
            </w:pPr>
            <w:r>
              <w:rPr>
                <w:rFonts w:cs="Arial" w:hint="eastAsia"/>
                <w:sz w:val="20"/>
                <w:szCs w:val="20"/>
              </w:rPr>
              <w:t>型号</w:t>
            </w:r>
            <w:r>
              <w:rPr>
                <w:rFonts w:ascii="Arial" w:hAnsi="Arial" w:cs="Arial"/>
                <w:sz w:val="20"/>
                <w:szCs w:val="20"/>
              </w:rPr>
              <w:t xml:space="preserve">: RV0.3                                            </w:t>
            </w:r>
            <w:r>
              <w:rPr>
                <w:rFonts w:cs="Arial" w:hint="eastAsia"/>
                <w:sz w:val="20"/>
                <w:szCs w:val="20"/>
              </w:rPr>
              <w:t>颜色：黑色</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米</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100</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cs="Arial"/>
                <w:sz w:val="20"/>
                <w:szCs w:val="20"/>
              </w:rPr>
            </w:pPr>
            <w:r>
              <w:rPr>
                <w:rFonts w:cs="Arial" w:hint="eastAsia"/>
                <w:sz w:val="20"/>
                <w:szCs w:val="20"/>
              </w:rPr>
              <w:t>大众</w:t>
            </w:r>
            <w:r>
              <w:rPr>
                <w:rFonts w:cs="Arial" w:hint="eastAsia"/>
                <w:sz w:val="20"/>
                <w:szCs w:val="20"/>
              </w:rPr>
              <w:t>EA888</w:t>
            </w:r>
            <w:r>
              <w:rPr>
                <w:rFonts w:cs="Arial" w:hint="eastAsia"/>
                <w:sz w:val="20"/>
                <w:szCs w:val="20"/>
              </w:rPr>
              <w:t>发动机及翻转架、发动机拆装实训台架</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cs="Arial"/>
                <w:sz w:val="20"/>
                <w:szCs w:val="20"/>
              </w:rPr>
            </w:pPr>
            <w:r>
              <w:rPr>
                <w:rFonts w:cs="Arial" w:hint="eastAsia"/>
                <w:sz w:val="20"/>
                <w:szCs w:val="20"/>
              </w:rPr>
              <w:t>1</w:t>
            </w:r>
            <w:r>
              <w:rPr>
                <w:rFonts w:cs="Arial" w:hint="eastAsia"/>
                <w:sz w:val="20"/>
                <w:szCs w:val="20"/>
              </w:rPr>
              <w:t>一、总体要求</w:t>
            </w:r>
          </w:p>
          <w:p w:rsidR="004B3CC1" w:rsidRDefault="00DB2F50">
            <w:pPr>
              <w:widowControl/>
              <w:jc w:val="left"/>
              <w:textAlignment w:val="center"/>
              <w:rPr>
                <w:rFonts w:cs="Arial"/>
                <w:sz w:val="20"/>
                <w:szCs w:val="20"/>
              </w:rPr>
            </w:pPr>
            <w:r>
              <w:rPr>
                <w:rFonts w:cs="Arial" w:hint="eastAsia"/>
                <w:sz w:val="20"/>
                <w:szCs w:val="20"/>
              </w:rPr>
              <w:t>以大众</w:t>
            </w:r>
            <w:r>
              <w:rPr>
                <w:rFonts w:cs="Arial" w:hint="eastAsia"/>
                <w:sz w:val="20"/>
                <w:szCs w:val="20"/>
              </w:rPr>
              <w:t>EA888</w:t>
            </w:r>
            <w:r>
              <w:rPr>
                <w:rFonts w:cs="Arial" w:hint="eastAsia"/>
                <w:sz w:val="20"/>
                <w:szCs w:val="20"/>
              </w:rPr>
              <w:t>发动结构认知与拆装实训为教学内容设计，将原装大众</w:t>
            </w:r>
            <w:r>
              <w:rPr>
                <w:rFonts w:cs="Arial" w:hint="eastAsia"/>
                <w:sz w:val="20"/>
                <w:szCs w:val="20"/>
              </w:rPr>
              <w:t>EA888</w:t>
            </w:r>
            <w:r>
              <w:rPr>
                <w:rFonts w:cs="Arial" w:hint="eastAsia"/>
                <w:sz w:val="20"/>
                <w:szCs w:val="20"/>
              </w:rPr>
              <w:t>发动搭载在翻转台架上，可实现任意角度翻转，适用于中高等职业技术院校、普通教育类学院和培训机构对发动机构造与维修教学和实训考核训练。</w:t>
            </w:r>
          </w:p>
          <w:p w:rsidR="004B3CC1" w:rsidRDefault="00DB2F50">
            <w:pPr>
              <w:widowControl/>
              <w:jc w:val="left"/>
              <w:textAlignment w:val="center"/>
              <w:rPr>
                <w:rFonts w:cs="Arial"/>
                <w:sz w:val="20"/>
                <w:szCs w:val="20"/>
              </w:rPr>
            </w:pPr>
            <w:r>
              <w:rPr>
                <w:rFonts w:cs="Arial" w:hint="eastAsia"/>
                <w:sz w:val="20"/>
                <w:szCs w:val="20"/>
              </w:rPr>
              <w:t>二、功能要求</w:t>
            </w:r>
          </w:p>
          <w:p w:rsidR="004B3CC1" w:rsidRDefault="00DB2F50">
            <w:pPr>
              <w:widowControl/>
              <w:jc w:val="left"/>
              <w:textAlignment w:val="center"/>
              <w:rPr>
                <w:rFonts w:cs="Arial"/>
                <w:sz w:val="20"/>
                <w:szCs w:val="20"/>
              </w:rPr>
            </w:pPr>
            <w:r>
              <w:rPr>
                <w:rFonts w:cs="Arial" w:hint="eastAsia"/>
                <w:sz w:val="20"/>
                <w:szCs w:val="20"/>
              </w:rPr>
              <w:t xml:space="preserve">1. </w:t>
            </w:r>
            <w:r>
              <w:rPr>
                <w:rFonts w:cs="Arial" w:hint="eastAsia"/>
                <w:sz w:val="20"/>
                <w:szCs w:val="20"/>
              </w:rPr>
              <w:t>采用大众</w:t>
            </w:r>
            <w:r>
              <w:rPr>
                <w:rFonts w:cs="Arial" w:hint="eastAsia"/>
                <w:sz w:val="20"/>
                <w:szCs w:val="20"/>
              </w:rPr>
              <w:t>EA888</w:t>
            </w:r>
            <w:r>
              <w:rPr>
                <w:rFonts w:cs="Arial" w:hint="eastAsia"/>
                <w:sz w:val="20"/>
                <w:szCs w:val="20"/>
              </w:rPr>
              <w:t>发动总成，组装在专用发动机拆装翻转架上；</w:t>
            </w:r>
          </w:p>
          <w:p w:rsidR="004B3CC1" w:rsidRDefault="00DB2F50">
            <w:pPr>
              <w:widowControl/>
              <w:jc w:val="left"/>
              <w:textAlignment w:val="center"/>
              <w:rPr>
                <w:rFonts w:cs="Arial"/>
                <w:sz w:val="20"/>
                <w:szCs w:val="20"/>
              </w:rPr>
            </w:pPr>
            <w:r>
              <w:rPr>
                <w:rFonts w:cs="Arial" w:hint="eastAsia"/>
                <w:sz w:val="20"/>
                <w:szCs w:val="20"/>
              </w:rPr>
              <w:t>2.</w:t>
            </w:r>
            <w:r>
              <w:rPr>
                <w:rFonts w:cs="Arial" w:hint="eastAsia"/>
                <w:sz w:val="20"/>
                <w:szCs w:val="20"/>
              </w:rPr>
              <w:t>采用减速翻转机构，可使发动机任意角度旋转，并能任意位置锁止，便于学生从不同的角度进行拆卸和装配。</w:t>
            </w:r>
          </w:p>
          <w:p w:rsidR="004B3CC1" w:rsidRDefault="00DB2F50">
            <w:pPr>
              <w:widowControl/>
              <w:jc w:val="left"/>
              <w:textAlignment w:val="center"/>
              <w:rPr>
                <w:rFonts w:cs="Arial"/>
                <w:sz w:val="20"/>
                <w:szCs w:val="20"/>
              </w:rPr>
            </w:pPr>
            <w:r>
              <w:rPr>
                <w:rFonts w:cs="Arial" w:hint="eastAsia"/>
                <w:sz w:val="20"/>
                <w:szCs w:val="20"/>
              </w:rPr>
              <w:t>三、工艺要求</w:t>
            </w:r>
          </w:p>
          <w:p w:rsidR="004B3CC1" w:rsidRDefault="00DB2F50">
            <w:pPr>
              <w:widowControl/>
              <w:jc w:val="left"/>
              <w:textAlignment w:val="center"/>
              <w:rPr>
                <w:rFonts w:cs="Arial"/>
                <w:sz w:val="20"/>
                <w:szCs w:val="20"/>
              </w:rPr>
            </w:pPr>
            <w:r>
              <w:rPr>
                <w:rFonts w:cs="Arial" w:hint="eastAsia"/>
                <w:sz w:val="20"/>
                <w:szCs w:val="20"/>
              </w:rPr>
              <w:t>1.</w:t>
            </w:r>
            <w:r>
              <w:rPr>
                <w:rFonts w:cs="Arial" w:hint="eastAsia"/>
                <w:sz w:val="20"/>
                <w:szCs w:val="20"/>
              </w:rPr>
              <w:t>移动钢支架进行磷化处理，高温喷塑处理，采用高强度的钢结构焊接，表面经喷涂工艺处理；</w:t>
            </w:r>
          </w:p>
          <w:p w:rsidR="004B3CC1" w:rsidRDefault="00DB2F50">
            <w:pPr>
              <w:widowControl/>
              <w:jc w:val="left"/>
              <w:textAlignment w:val="center"/>
              <w:rPr>
                <w:rFonts w:cs="Arial"/>
                <w:sz w:val="20"/>
                <w:szCs w:val="20"/>
              </w:rPr>
            </w:pPr>
            <w:r>
              <w:rPr>
                <w:rFonts w:cs="Arial" w:hint="eastAsia"/>
                <w:sz w:val="20"/>
                <w:szCs w:val="20"/>
              </w:rPr>
              <w:t>2.</w:t>
            </w:r>
            <w:r>
              <w:rPr>
                <w:rFonts w:cs="Arial" w:hint="eastAsia"/>
                <w:sz w:val="20"/>
                <w:szCs w:val="20"/>
              </w:rPr>
              <w:t>拆装翻转架（带自锁脚轮装置），可移动式，方便教学</w:t>
            </w:r>
            <w:r>
              <w:rPr>
                <w:rFonts w:cs="Arial" w:hint="eastAsia"/>
                <w:sz w:val="20"/>
                <w:szCs w:val="20"/>
              </w:rPr>
              <w:t xml:space="preserve"> 950</w:t>
            </w:r>
            <w:r>
              <w:rPr>
                <w:rFonts w:cs="Arial" w:hint="eastAsia"/>
                <w:sz w:val="20"/>
                <w:szCs w:val="20"/>
              </w:rPr>
              <w:t>×</w:t>
            </w:r>
            <w:r>
              <w:rPr>
                <w:rFonts w:cs="Arial" w:hint="eastAsia"/>
                <w:sz w:val="20"/>
                <w:szCs w:val="20"/>
              </w:rPr>
              <w:t>680</w:t>
            </w:r>
            <w:r>
              <w:rPr>
                <w:rFonts w:cs="Arial" w:hint="eastAsia"/>
                <w:sz w:val="20"/>
                <w:szCs w:val="20"/>
              </w:rPr>
              <w:t>×</w:t>
            </w:r>
            <w:r>
              <w:rPr>
                <w:rFonts w:cs="Arial" w:hint="eastAsia"/>
                <w:sz w:val="20"/>
                <w:szCs w:val="20"/>
              </w:rPr>
              <w:t>850mm</w:t>
            </w:r>
            <w:r>
              <w:rPr>
                <w:rFonts w:cs="Arial" w:hint="eastAsia"/>
                <w:sz w:val="20"/>
                <w:szCs w:val="20"/>
              </w:rPr>
              <w:t>（长×宽×高）；</w:t>
            </w:r>
            <w:r>
              <w:rPr>
                <w:rFonts w:cs="Arial" w:hint="eastAsia"/>
                <w:sz w:val="20"/>
                <w:szCs w:val="20"/>
              </w:rPr>
              <w:t xml:space="preserve"> </w:t>
            </w:r>
          </w:p>
          <w:p w:rsidR="004B3CC1" w:rsidRDefault="00DB2F50">
            <w:pPr>
              <w:widowControl/>
              <w:ind w:left="200" w:hangingChars="100" w:hanging="200"/>
              <w:jc w:val="left"/>
              <w:textAlignment w:val="center"/>
              <w:rPr>
                <w:rFonts w:cs="Arial"/>
                <w:sz w:val="20"/>
                <w:szCs w:val="20"/>
              </w:rPr>
            </w:pPr>
            <w:r>
              <w:rPr>
                <w:rFonts w:cs="Arial" w:hint="eastAsia"/>
                <w:sz w:val="20"/>
                <w:szCs w:val="20"/>
              </w:rPr>
              <w:t>3.</w:t>
            </w:r>
            <w:r>
              <w:rPr>
                <w:rFonts w:cs="Arial" w:hint="eastAsia"/>
                <w:sz w:val="20"/>
                <w:szCs w:val="20"/>
              </w:rPr>
              <w:t>大面积接油盆</w:t>
            </w:r>
            <w:r>
              <w:rPr>
                <w:rFonts w:cs="Arial" w:hint="eastAsia"/>
                <w:sz w:val="20"/>
                <w:szCs w:val="20"/>
              </w:rPr>
              <w:t xml:space="preserve"> 660</w:t>
            </w:r>
            <w:r>
              <w:rPr>
                <w:rFonts w:cs="Arial" w:hint="eastAsia"/>
                <w:sz w:val="20"/>
                <w:szCs w:val="20"/>
              </w:rPr>
              <w:t>×</w:t>
            </w:r>
            <w:r>
              <w:rPr>
                <w:rFonts w:cs="Arial" w:hint="eastAsia"/>
                <w:sz w:val="20"/>
                <w:szCs w:val="20"/>
              </w:rPr>
              <w:t>590</w:t>
            </w:r>
            <w:r>
              <w:rPr>
                <w:rFonts w:cs="Arial" w:hint="eastAsia"/>
                <w:sz w:val="20"/>
                <w:szCs w:val="20"/>
              </w:rPr>
              <w:t>×</w:t>
            </w:r>
            <w:r>
              <w:rPr>
                <w:rFonts w:cs="Arial" w:hint="eastAsia"/>
                <w:sz w:val="20"/>
                <w:szCs w:val="20"/>
              </w:rPr>
              <w:t>35mm</w:t>
            </w:r>
            <w:r>
              <w:rPr>
                <w:rFonts w:cs="Arial" w:hint="eastAsia"/>
                <w:sz w:val="20"/>
                <w:szCs w:val="20"/>
              </w:rPr>
              <w:t>（长×宽×深）。</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r>
      <w:tr w:rsidR="004B3CC1">
        <w:trPr>
          <w:trHeight w:val="144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cs="Arial"/>
                <w:sz w:val="20"/>
                <w:szCs w:val="20"/>
              </w:rPr>
            </w:pPr>
            <w:r>
              <w:rPr>
                <w:rFonts w:cs="Arial" w:hint="eastAsia"/>
                <w:sz w:val="20"/>
                <w:szCs w:val="20"/>
              </w:rPr>
              <w:t>新能源汽车</w:t>
            </w:r>
            <w:r>
              <w:rPr>
                <w:rFonts w:cs="Arial" w:hint="eastAsia"/>
                <w:sz w:val="20"/>
                <w:szCs w:val="20"/>
              </w:rPr>
              <w:t>/</w:t>
            </w:r>
            <w:r>
              <w:rPr>
                <w:rFonts w:cs="Arial" w:hint="eastAsia"/>
                <w:sz w:val="20"/>
                <w:szCs w:val="20"/>
              </w:rPr>
              <w:t>比亚迪</w:t>
            </w:r>
            <w:r>
              <w:rPr>
                <w:rFonts w:cs="Arial" w:hint="eastAsia"/>
                <w:sz w:val="20"/>
                <w:szCs w:val="20"/>
              </w:rPr>
              <w:t>E5/</w:t>
            </w:r>
            <w:r>
              <w:rPr>
                <w:rFonts w:cs="Arial" w:hint="eastAsia"/>
                <w:sz w:val="20"/>
                <w:szCs w:val="20"/>
              </w:rPr>
              <w:t>动力电池和管理系统实训台</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rPr>
                <w:rFonts w:cs="Arial"/>
                <w:sz w:val="20"/>
                <w:szCs w:val="20"/>
              </w:rPr>
            </w:pPr>
            <w:r>
              <w:rPr>
                <w:rFonts w:cs="Arial" w:hint="eastAsia"/>
                <w:sz w:val="20"/>
                <w:szCs w:val="20"/>
              </w:rPr>
              <w:t>一、总体要求</w:t>
            </w:r>
          </w:p>
          <w:p w:rsidR="004B3CC1" w:rsidRDefault="00DB2F50">
            <w:pPr>
              <w:widowControl/>
              <w:jc w:val="left"/>
              <w:rPr>
                <w:rFonts w:cs="Arial"/>
                <w:sz w:val="20"/>
                <w:szCs w:val="20"/>
              </w:rPr>
            </w:pPr>
            <w:r>
              <w:rPr>
                <w:rFonts w:cs="Arial" w:hint="eastAsia"/>
                <w:sz w:val="20"/>
                <w:szCs w:val="20"/>
              </w:rPr>
              <w:t>以比亚迪</w:t>
            </w:r>
            <w:r>
              <w:rPr>
                <w:rFonts w:cs="Arial" w:hint="eastAsia"/>
                <w:sz w:val="20"/>
                <w:szCs w:val="20"/>
              </w:rPr>
              <w:t>E5</w:t>
            </w:r>
            <w:r>
              <w:rPr>
                <w:rFonts w:cs="Arial" w:hint="eastAsia"/>
                <w:sz w:val="20"/>
                <w:szCs w:val="20"/>
              </w:rPr>
              <w:t>纯电动汽车动力电池实物为基础，配备仪表、显示屏、动力电池组、电池管理单元等组成，充分展示动力电池的内部结构、控制原理、和性能参数，适用中高职院校对纯电动汽车动力电池系统的原理教学与实训需要。</w:t>
            </w:r>
          </w:p>
          <w:p w:rsidR="004B3CC1" w:rsidRDefault="00DB2F50">
            <w:pPr>
              <w:widowControl/>
              <w:jc w:val="left"/>
              <w:rPr>
                <w:rFonts w:cs="Arial"/>
                <w:sz w:val="20"/>
                <w:szCs w:val="20"/>
              </w:rPr>
            </w:pPr>
            <w:r>
              <w:rPr>
                <w:rFonts w:cs="Arial" w:hint="eastAsia"/>
                <w:sz w:val="20"/>
                <w:szCs w:val="20"/>
              </w:rPr>
              <w:t>二、功能要求</w:t>
            </w:r>
          </w:p>
          <w:p w:rsidR="004B3CC1" w:rsidRDefault="00DB2F50">
            <w:pPr>
              <w:widowControl/>
              <w:jc w:val="left"/>
              <w:rPr>
                <w:rFonts w:cs="Arial"/>
                <w:sz w:val="20"/>
                <w:szCs w:val="20"/>
              </w:rPr>
            </w:pPr>
            <w:r>
              <w:rPr>
                <w:rFonts w:cs="Arial" w:hint="eastAsia"/>
                <w:sz w:val="20"/>
                <w:szCs w:val="20"/>
              </w:rPr>
              <w:t>1.</w:t>
            </w:r>
            <w:r>
              <w:rPr>
                <w:rFonts w:cs="Arial" w:hint="eastAsia"/>
                <w:sz w:val="20"/>
                <w:szCs w:val="20"/>
              </w:rPr>
              <w:t>展示全封闭的内部电池结构形式，并对电池组进行改造，能够直观的察看电池的内容结构，满足该教学功能的需要；</w:t>
            </w:r>
          </w:p>
          <w:p w:rsidR="004B3CC1" w:rsidRDefault="00DB2F50">
            <w:pPr>
              <w:widowControl/>
              <w:jc w:val="left"/>
              <w:rPr>
                <w:rFonts w:cs="Arial"/>
                <w:sz w:val="20"/>
                <w:szCs w:val="20"/>
              </w:rPr>
            </w:pPr>
            <w:r>
              <w:rPr>
                <w:rFonts w:cs="Arial" w:hint="eastAsia"/>
                <w:sz w:val="20"/>
                <w:szCs w:val="20"/>
              </w:rPr>
              <w:t>2.</w:t>
            </w:r>
            <w:r>
              <w:rPr>
                <w:rFonts w:cs="Arial" w:hint="eastAsia"/>
                <w:sz w:val="20"/>
                <w:szCs w:val="20"/>
              </w:rPr>
              <w:t>电池总电压与实际一致；电池容量与实际一致；电池充电时间；快充</w:t>
            </w:r>
            <w:r>
              <w:rPr>
                <w:rFonts w:cs="Arial" w:hint="eastAsia"/>
                <w:sz w:val="20"/>
                <w:szCs w:val="20"/>
              </w:rPr>
              <w:t>2-2.5</w:t>
            </w:r>
            <w:r>
              <w:rPr>
                <w:rFonts w:cs="Arial" w:hint="eastAsia"/>
                <w:sz w:val="20"/>
                <w:szCs w:val="20"/>
              </w:rPr>
              <w:t>小时</w:t>
            </w:r>
            <w:r>
              <w:rPr>
                <w:rFonts w:cs="Arial" w:hint="eastAsia"/>
                <w:sz w:val="20"/>
                <w:szCs w:val="20"/>
              </w:rPr>
              <w:t>,</w:t>
            </w:r>
            <w:r>
              <w:rPr>
                <w:rFonts w:cs="Arial" w:hint="eastAsia"/>
                <w:sz w:val="20"/>
                <w:szCs w:val="20"/>
              </w:rPr>
              <w:t>慢充</w:t>
            </w:r>
            <w:r>
              <w:rPr>
                <w:rFonts w:cs="Arial" w:hint="eastAsia"/>
                <w:sz w:val="20"/>
                <w:szCs w:val="20"/>
              </w:rPr>
              <w:t>7-8</w:t>
            </w:r>
            <w:r>
              <w:rPr>
                <w:rFonts w:cs="Arial" w:hint="eastAsia"/>
                <w:sz w:val="20"/>
                <w:szCs w:val="20"/>
              </w:rPr>
              <w:t>小时；</w:t>
            </w:r>
          </w:p>
          <w:p w:rsidR="004B3CC1" w:rsidRDefault="00DB2F50">
            <w:pPr>
              <w:widowControl/>
              <w:jc w:val="left"/>
              <w:rPr>
                <w:rFonts w:cs="Arial"/>
                <w:sz w:val="20"/>
                <w:szCs w:val="20"/>
              </w:rPr>
            </w:pPr>
            <w:r>
              <w:rPr>
                <w:rFonts w:cs="Arial" w:hint="eastAsia"/>
                <w:sz w:val="20"/>
                <w:szCs w:val="20"/>
              </w:rPr>
              <w:t>3.</w:t>
            </w:r>
            <w:r>
              <w:rPr>
                <w:rFonts w:cs="Arial" w:hint="eastAsia"/>
                <w:sz w:val="20"/>
                <w:szCs w:val="20"/>
              </w:rPr>
              <w:t>保护功能：每路电池采集线均内置过流保护，即使采集线被外部短路，仍然不会引起故障，当外部短路撤销后，系统即自动恢复正常运行；</w:t>
            </w:r>
          </w:p>
          <w:p w:rsidR="004B3CC1" w:rsidRDefault="00DB2F50">
            <w:pPr>
              <w:widowControl/>
              <w:jc w:val="left"/>
              <w:rPr>
                <w:rFonts w:cs="Arial"/>
                <w:sz w:val="20"/>
                <w:szCs w:val="20"/>
              </w:rPr>
            </w:pPr>
            <w:r>
              <w:rPr>
                <w:rFonts w:cs="Arial" w:hint="eastAsia"/>
                <w:sz w:val="20"/>
                <w:szCs w:val="20"/>
              </w:rPr>
              <w:t>4.</w:t>
            </w:r>
            <w:r>
              <w:rPr>
                <w:rFonts w:cs="Arial" w:hint="eastAsia"/>
                <w:sz w:val="20"/>
                <w:szCs w:val="20"/>
              </w:rPr>
              <w:t>能够为纯电动汽车动力驱动与控制一体化教学实训系统、纯电动汽车空调与暖风一体化教学实训系统、纯电动汽车电动助力转向一体化教学实训系统、纯电动汽车车身电器一体化教学实训系统提供动力源，并连接组成完整系统。</w:t>
            </w:r>
          </w:p>
          <w:p w:rsidR="004B3CC1" w:rsidRDefault="00DB2F50">
            <w:pPr>
              <w:widowControl/>
              <w:jc w:val="left"/>
              <w:rPr>
                <w:rFonts w:cs="Arial"/>
                <w:sz w:val="20"/>
                <w:szCs w:val="20"/>
              </w:rPr>
            </w:pPr>
            <w:r>
              <w:rPr>
                <w:rFonts w:cs="Arial" w:hint="eastAsia"/>
                <w:sz w:val="20"/>
                <w:szCs w:val="20"/>
              </w:rPr>
              <w:t>三、实训项目</w:t>
            </w:r>
          </w:p>
          <w:p w:rsidR="004B3CC1" w:rsidRDefault="00DB2F50">
            <w:pPr>
              <w:widowControl/>
              <w:jc w:val="left"/>
              <w:rPr>
                <w:rFonts w:cs="Arial"/>
                <w:sz w:val="20"/>
                <w:szCs w:val="20"/>
              </w:rPr>
            </w:pPr>
            <w:r>
              <w:rPr>
                <w:rFonts w:cs="Arial" w:hint="eastAsia"/>
                <w:sz w:val="20"/>
                <w:szCs w:val="20"/>
              </w:rPr>
              <w:t>1.</w:t>
            </w:r>
            <w:r>
              <w:rPr>
                <w:rFonts w:cs="Arial" w:hint="eastAsia"/>
                <w:sz w:val="20"/>
                <w:szCs w:val="20"/>
              </w:rPr>
              <w:t>了解比亚迪</w:t>
            </w:r>
            <w:r>
              <w:rPr>
                <w:rFonts w:cs="Arial" w:hint="eastAsia"/>
                <w:sz w:val="20"/>
                <w:szCs w:val="20"/>
              </w:rPr>
              <w:t>E5</w:t>
            </w:r>
            <w:r>
              <w:rPr>
                <w:rFonts w:cs="Arial" w:hint="eastAsia"/>
                <w:sz w:val="20"/>
                <w:szCs w:val="20"/>
              </w:rPr>
              <w:t>的动力电池包结构和工作原理，学会识别动力电池及</w:t>
            </w:r>
            <w:r>
              <w:rPr>
                <w:rFonts w:cs="Arial" w:hint="eastAsia"/>
                <w:sz w:val="20"/>
                <w:szCs w:val="20"/>
              </w:rPr>
              <w:t>BMS</w:t>
            </w:r>
            <w:r>
              <w:rPr>
                <w:rFonts w:cs="Arial" w:hint="eastAsia"/>
                <w:sz w:val="20"/>
                <w:szCs w:val="20"/>
              </w:rPr>
              <w:t>系统铭牌；</w:t>
            </w:r>
          </w:p>
          <w:p w:rsidR="004B3CC1" w:rsidRDefault="00DB2F50">
            <w:pPr>
              <w:widowControl/>
              <w:jc w:val="left"/>
              <w:rPr>
                <w:rFonts w:cs="Arial"/>
                <w:sz w:val="20"/>
                <w:szCs w:val="20"/>
              </w:rPr>
            </w:pPr>
            <w:r>
              <w:rPr>
                <w:rFonts w:cs="Arial" w:hint="eastAsia"/>
                <w:sz w:val="20"/>
                <w:szCs w:val="20"/>
              </w:rPr>
              <w:t>2.</w:t>
            </w:r>
            <w:r>
              <w:rPr>
                <w:rFonts w:cs="Arial" w:hint="eastAsia"/>
                <w:sz w:val="20"/>
                <w:szCs w:val="20"/>
              </w:rPr>
              <w:t>了解</w:t>
            </w:r>
            <w:r>
              <w:rPr>
                <w:rFonts w:cs="Arial" w:hint="eastAsia"/>
                <w:sz w:val="20"/>
                <w:szCs w:val="20"/>
              </w:rPr>
              <w:t>BMS</w:t>
            </w:r>
            <w:r>
              <w:rPr>
                <w:rFonts w:cs="Arial" w:hint="eastAsia"/>
                <w:sz w:val="20"/>
                <w:szCs w:val="20"/>
              </w:rPr>
              <w:t>实时数据读取功能，如读取动力电池的电压、温度、</w:t>
            </w:r>
            <w:r>
              <w:rPr>
                <w:rFonts w:cs="Arial" w:hint="eastAsia"/>
                <w:sz w:val="20"/>
                <w:szCs w:val="20"/>
              </w:rPr>
              <w:t>SOC</w:t>
            </w:r>
            <w:r>
              <w:rPr>
                <w:rFonts w:cs="Arial" w:hint="eastAsia"/>
                <w:sz w:val="20"/>
                <w:szCs w:val="20"/>
              </w:rPr>
              <w:t>、电流、健康程度等数据，分析电池模块的工作状态即在线均衡充放电（需配备相应整车分析仪）；</w:t>
            </w:r>
          </w:p>
          <w:p w:rsidR="004B3CC1" w:rsidRDefault="00DB2F50">
            <w:pPr>
              <w:widowControl/>
              <w:jc w:val="left"/>
              <w:rPr>
                <w:rFonts w:cs="Arial"/>
                <w:sz w:val="20"/>
                <w:szCs w:val="20"/>
              </w:rPr>
            </w:pPr>
            <w:r>
              <w:rPr>
                <w:rFonts w:cs="Arial" w:hint="eastAsia"/>
                <w:sz w:val="20"/>
                <w:szCs w:val="20"/>
              </w:rPr>
              <w:t>3.</w:t>
            </w:r>
            <w:r>
              <w:rPr>
                <w:rFonts w:cs="Arial" w:hint="eastAsia"/>
                <w:sz w:val="20"/>
                <w:szCs w:val="20"/>
              </w:rPr>
              <w:t>了解高压配电箱的结构及工作原理；</w:t>
            </w:r>
            <w:r>
              <w:rPr>
                <w:rFonts w:cs="Arial" w:hint="eastAsia"/>
                <w:sz w:val="20"/>
                <w:szCs w:val="20"/>
              </w:rPr>
              <w:t xml:space="preserve"> </w:t>
            </w:r>
          </w:p>
          <w:p w:rsidR="004B3CC1" w:rsidRDefault="00DB2F50">
            <w:pPr>
              <w:widowControl/>
              <w:jc w:val="left"/>
              <w:rPr>
                <w:rFonts w:cs="Arial"/>
                <w:sz w:val="20"/>
                <w:szCs w:val="20"/>
              </w:rPr>
            </w:pPr>
            <w:r>
              <w:rPr>
                <w:rFonts w:cs="Arial" w:hint="eastAsia"/>
                <w:sz w:val="20"/>
                <w:szCs w:val="20"/>
              </w:rPr>
              <w:t>4.</w:t>
            </w:r>
            <w:r>
              <w:rPr>
                <w:rFonts w:cs="Arial" w:hint="eastAsia"/>
                <w:sz w:val="20"/>
                <w:szCs w:val="20"/>
              </w:rPr>
              <w:t>了解动力电池与电池管理系统的部件和线路，及其作用；</w:t>
            </w:r>
          </w:p>
          <w:p w:rsidR="004B3CC1" w:rsidRDefault="00DB2F50">
            <w:pPr>
              <w:widowControl/>
              <w:jc w:val="left"/>
              <w:rPr>
                <w:rFonts w:cs="Arial"/>
                <w:sz w:val="20"/>
                <w:szCs w:val="20"/>
              </w:rPr>
            </w:pPr>
            <w:r>
              <w:rPr>
                <w:rFonts w:cs="Arial" w:hint="eastAsia"/>
                <w:sz w:val="20"/>
                <w:szCs w:val="20"/>
              </w:rPr>
              <w:t>5.</w:t>
            </w:r>
            <w:r>
              <w:rPr>
                <w:rFonts w:cs="Arial" w:hint="eastAsia"/>
                <w:sz w:val="20"/>
                <w:szCs w:val="20"/>
              </w:rPr>
              <w:t>掌握单体电池的测量、检查和维护方法；</w:t>
            </w:r>
          </w:p>
          <w:p w:rsidR="004B3CC1" w:rsidRDefault="00DB2F50">
            <w:pPr>
              <w:widowControl/>
              <w:jc w:val="left"/>
              <w:rPr>
                <w:rFonts w:cs="Arial"/>
                <w:sz w:val="20"/>
                <w:szCs w:val="20"/>
              </w:rPr>
            </w:pPr>
            <w:r>
              <w:rPr>
                <w:rFonts w:cs="Arial" w:hint="eastAsia"/>
                <w:sz w:val="20"/>
                <w:szCs w:val="20"/>
              </w:rPr>
              <w:t>6.</w:t>
            </w:r>
            <w:r>
              <w:rPr>
                <w:rFonts w:cs="Arial" w:hint="eastAsia"/>
                <w:sz w:val="20"/>
                <w:szCs w:val="20"/>
              </w:rPr>
              <w:t>掌握正极接触器、负极接触器、分压器的检测方法；</w:t>
            </w:r>
          </w:p>
          <w:p w:rsidR="004B3CC1" w:rsidRDefault="00DB2F50">
            <w:pPr>
              <w:widowControl/>
              <w:jc w:val="left"/>
              <w:rPr>
                <w:rFonts w:cs="Arial"/>
                <w:sz w:val="20"/>
                <w:szCs w:val="20"/>
              </w:rPr>
            </w:pPr>
            <w:r>
              <w:rPr>
                <w:rFonts w:cs="Arial" w:hint="eastAsia"/>
                <w:sz w:val="20"/>
                <w:szCs w:val="20"/>
              </w:rPr>
              <w:t>7.</w:t>
            </w:r>
            <w:r>
              <w:rPr>
                <w:rFonts w:cs="Arial" w:hint="eastAsia"/>
                <w:sz w:val="20"/>
                <w:szCs w:val="20"/>
              </w:rPr>
              <w:t>掌握高压配电箱中常用部件的检测方法等。</w:t>
            </w:r>
          </w:p>
          <w:p w:rsidR="004B3CC1" w:rsidRDefault="00DB2F50">
            <w:pPr>
              <w:widowControl/>
              <w:jc w:val="left"/>
              <w:rPr>
                <w:rFonts w:cs="Arial"/>
                <w:sz w:val="20"/>
                <w:szCs w:val="20"/>
              </w:rPr>
            </w:pPr>
            <w:r>
              <w:rPr>
                <w:rFonts w:cs="Arial" w:hint="eastAsia"/>
                <w:sz w:val="20"/>
                <w:szCs w:val="20"/>
              </w:rPr>
              <w:t>四、工艺要求</w:t>
            </w:r>
          </w:p>
          <w:p w:rsidR="004B3CC1" w:rsidRDefault="00DB2F50">
            <w:pPr>
              <w:widowControl/>
              <w:jc w:val="left"/>
              <w:rPr>
                <w:rFonts w:cs="Arial"/>
                <w:sz w:val="20"/>
                <w:szCs w:val="20"/>
              </w:rPr>
            </w:pPr>
            <w:r>
              <w:rPr>
                <w:rFonts w:cs="Arial" w:hint="eastAsia"/>
                <w:sz w:val="20"/>
                <w:szCs w:val="20"/>
              </w:rPr>
              <w:t>1.</w:t>
            </w:r>
            <w:r>
              <w:rPr>
                <w:rFonts w:cs="Arial" w:hint="eastAsia"/>
                <w:sz w:val="20"/>
                <w:szCs w:val="20"/>
              </w:rPr>
              <w:t>台架采用国标型材制作而成，经久耐用不生锈，带万向脚轮，便于移动；</w:t>
            </w:r>
          </w:p>
          <w:p w:rsidR="004B3CC1" w:rsidRDefault="00DB2F50">
            <w:pPr>
              <w:widowControl/>
              <w:jc w:val="left"/>
              <w:rPr>
                <w:rFonts w:cs="Arial"/>
                <w:sz w:val="20"/>
                <w:szCs w:val="20"/>
              </w:rPr>
            </w:pPr>
            <w:r>
              <w:rPr>
                <w:rFonts w:cs="Arial" w:hint="eastAsia"/>
                <w:sz w:val="20"/>
                <w:szCs w:val="20"/>
              </w:rPr>
              <w:t>2.</w:t>
            </w:r>
            <w:r>
              <w:rPr>
                <w:rFonts w:cs="Arial" w:hint="eastAsia"/>
                <w:sz w:val="20"/>
                <w:szCs w:val="20"/>
              </w:rPr>
              <w:t>面板材料采用铝塑板制作，电路图经过处理后用大型平板打印机打印，电路图打印效果平整无凹凸感且不少于四种颜色，经久耐用；</w:t>
            </w:r>
          </w:p>
          <w:p w:rsidR="004B3CC1" w:rsidRDefault="00DB2F50">
            <w:pPr>
              <w:widowControl/>
              <w:jc w:val="left"/>
              <w:rPr>
                <w:rFonts w:cs="Arial"/>
                <w:sz w:val="20"/>
                <w:szCs w:val="20"/>
              </w:rPr>
            </w:pPr>
            <w:r>
              <w:rPr>
                <w:rFonts w:cs="Arial" w:hint="eastAsia"/>
                <w:sz w:val="20"/>
                <w:szCs w:val="20"/>
              </w:rPr>
              <w:t>3.</w:t>
            </w:r>
            <w:r>
              <w:rPr>
                <w:rFonts w:cs="Arial" w:hint="eastAsia"/>
                <w:sz w:val="20"/>
                <w:szCs w:val="20"/>
              </w:rPr>
              <w:t>面板架外观采用铝塑板封边，外观高档、美观；</w:t>
            </w:r>
          </w:p>
          <w:p w:rsidR="004B3CC1" w:rsidRDefault="00DB2F50">
            <w:pPr>
              <w:widowControl/>
              <w:jc w:val="left"/>
              <w:rPr>
                <w:rFonts w:cs="Arial"/>
                <w:sz w:val="20"/>
                <w:szCs w:val="20"/>
              </w:rPr>
            </w:pPr>
            <w:r>
              <w:rPr>
                <w:rFonts w:cs="Arial" w:hint="eastAsia"/>
                <w:sz w:val="20"/>
                <w:szCs w:val="20"/>
              </w:rPr>
              <w:t>4.</w:t>
            </w:r>
            <w:r>
              <w:rPr>
                <w:rFonts w:cs="Arial" w:hint="eastAsia"/>
                <w:sz w:val="20"/>
                <w:szCs w:val="20"/>
              </w:rPr>
              <w:t>固定零部件采用电脑激光雕刻机加工，美观度且不刺手。</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r>
      <w:tr w:rsidR="004B3CC1">
        <w:trPr>
          <w:trHeight w:val="720"/>
        </w:trPr>
        <w:tc>
          <w:tcPr>
            <w:tcW w:w="692"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65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color w:val="000000"/>
                <w:sz w:val="20"/>
                <w:szCs w:val="20"/>
              </w:rPr>
            </w:pPr>
            <w:r>
              <w:rPr>
                <w:rFonts w:cs="Arial" w:hint="eastAsia"/>
                <w:sz w:val="20"/>
                <w:szCs w:val="20"/>
              </w:rPr>
              <w:t>新能源汽车</w:t>
            </w:r>
            <w:r>
              <w:rPr>
                <w:rFonts w:cs="Arial" w:hint="eastAsia"/>
                <w:sz w:val="20"/>
                <w:szCs w:val="20"/>
              </w:rPr>
              <w:t>/</w:t>
            </w:r>
            <w:r>
              <w:rPr>
                <w:rFonts w:cs="Arial" w:hint="eastAsia"/>
                <w:sz w:val="20"/>
                <w:szCs w:val="20"/>
              </w:rPr>
              <w:t>比亚迪</w:t>
            </w:r>
            <w:r>
              <w:rPr>
                <w:rFonts w:cs="Arial" w:hint="eastAsia"/>
                <w:sz w:val="20"/>
                <w:szCs w:val="20"/>
              </w:rPr>
              <w:t>E5/</w:t>
            </w:r>
            <w:r>
              <w:rPr>
                <w:rFonts w:cs="Arial" w:hint="eastAsia"/>
                <w:sz w:val="20"/>
                <w:szCs w:val="20"/>
              </w:rPr>
              <w:t>纯电动汽车动力驱动与控制一体化教学实训系统</w:t>
            </w:r>
          </w:p>
        </w:tc>
        <w:tc>
          <w:tcPr>
            <w:tcW w:w="5625"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left"/>
              <w:textAlignment w:val="center"/>
              <w:rPr>
                <w:rFonts w:ascii="宋体" w:hAnsi="宋体" w:cs="宋体"/>
                <w:sz w:val="20"/>
                <w:szCs w:val="20"/>
              </w:rPr>
            </w:pPr>
            <w:r>
              <w:rPr>
                <w:rFonts w:ascii="宋体" w:hAnsi="宋体" w:cs="宋体" w:hint="eastAsia"/>
                <w:sz w:val="20"/>
                <w:szCs w:val="20"/>
              </w:rPr>
              <w:t>一、总体要求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采用比亚迪E5纯电动汽车动力系统，包括检测控制面板、组合仪表、高压电控总成、永磁同步电动机、换挡杆、电子油门踏板、动力电池组直流充电口、电源总开关、常规12V电池等，可对纯电动动力系统进行起动、加速、减速等工况的实践操作，真实展示纯电动动力系统的组成结构和工作过程，适用于对纯电动动力系统维修实训的教学需要。</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二、功能要求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1.真实可运行的纯电动动力系统，可充分展示纯电动动力系统的组成结构和工作过程。原车电子线控换档总成，当前的换档杆位置可通过换档位置指示器进行确认；</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2.实训台面板上安装有电压及相关数据显示表，可实时观察系统运行状况；面板上打印有完整彩色电路原理图，可直观对照电路图和纯电动动力系统实物，认识和分析控制系统的工作原理；</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3.实训台面板上安装有检测端子，可检测各传感器、执行器、电源控制单元等动态或静态参数，如电阻、电压、电流、频率信号等；</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4.配原车油门踏板及刹车系统，可进行启动或倒车、一般行驶、全速行驶、减速或制动和停车等工况运行，可观察在相应工况下的能量流动方向以及电动机的运行状态，动态展示汽车纯电动动力系统的工作过程；</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5.能够展示演练与纯电动汽车主控制系统及纯电动汽车动力电池系统的关联作用，进行数据测量与教学实训；</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6.为防止轮胎高速运转时误伤人，要求驱动轮胎透明全封闭，既能了解驱动系统的传动路线，又能安全操作与实训。</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三、实训项目</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 xml:space="preserve">1.了解比亚迪E5的电机驱动系统的实际结构与线路和工作原理，学会识别电机及电机控制器铭牌；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 xml:space="preserve">2.了解动力传递过程、电机转速、电控系统故障指示灯等参数变化；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 xml:space="preserve">3.学习电机控制器的不同功能模块，及在不同负载情况下电机控制器的的调节与管理；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4.展示相应控制（加速、减速、后退）下的电机内部运行情况；</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 xml:space="preserve">5.了解驱动电机系统内的高低压线路，及其作用；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6.掌握比亚迪E5动力电机基本检查和维护方法；</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7.掌握电机上温度传感器、电机转速传感器、旋变转换器的检测方法；</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8.掌握动力电机的绝缘性检测方法；</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 xml:space="preserve">9.掌握驱动电机控制系统的高压、低压线路检测方法；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10.掌握电机驱动系统冷却系统的工作原理及检测、维修方法；</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11.掌握使用整车分析仪的方法，读取动力电机及电机驱动系统的数据流、故障代码、清除故障代码；</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12.掌握电机的拆装方法（注意高压安全操作规范）；</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13.展示电机的数据变化和ECU、电机控制器的响应原理；</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14.进行驱动电机系统的故障诊断；</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15.展示能量制动回收等功能（需配备比亚迪E5车身电子及电气实训系统和动力电池及电池管理实训系统）。</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四、汽车综合教学管理软件</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功能说明：在汽车综合教学管理软件中安装WIFI无线智能化故障设置系统上位机，主要由上位机软件、中位机、下位机（故障设置板）、具有无线智能化故障设置系统的汽车教学设备等构成，上位机软件支持window（win7或10）、android（4.1版本以上）系统，支持终端为PC电脑、平板、手机。系统可通过局域无线WIFI、中位机自带WIFI、USB的三种方式进行连接，可便捷性地设置各种常见系统部件线路的故障：通路、断路、间歇性断路、虚接四种故障状态，方便教师在教学设备上对汽车电器、电控系统等故障检测与排故的教学任务实施，有效地减少教学设备的损耗率。系统具备“间歇性断路”故障发生时间条件设置、断电恢复、一键或手动清除功能故障、故障查询、故障列表名称个性化修改等功能。</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2.配备说明：配置无线故障设置上位机一台（全部设备共用一台上位机）、中位机一台（全部设备共用一台中位机）。一台上位机可以控制250台下位机（下位机与教学设备部件线束相连），上位机采用10.1英寸的触摸屏win 10系统平板电脑。 “无线智能化故障设置”为汽车综合教学管理平台软件的子模块，配备android版“无线智能化故障设置软件”。</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3.技术要求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（1）上位机软件支持系统：window（win 7或10）、android（4.1版本以上）；</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（2）上位机软件运行终端：PC/平板/手机；</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（3）中位机采用嵌入式微处理器开发，具有USB通信、存储功能，即插即用免驱程连接到平板或PC；</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（4）中位机内置无线通信功能，可通过上位机发送无线故障设置指令到下位机；通过上位机软件UDP广播，搜索IP地址，得到IP地址后进行TCP连接，具有较稳定的通讯，中位机与下位机通迅距离300米以内；</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（5）中位机可作为客户端连接到WIFI路由器，使用可支持的终端设备连接设定的局域网环境，可发送故障设置数据到下位机；</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（6）中位机可独立产生WIFI热点（不需要路由器），手机或平板电脑连接热点后，可发送故障设置数据到下位机；</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（7）下位机采用16个500mA继电器设计控制8路信号，每个下位机可通过FPC数据线扩展到96路；</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（8）一台上位机可同时/分别控制250个下位机（250台实训设备）；</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（9）下位机外壳材质：使用透明亚克力外壳，便于观察每路信号状态，每路信号使用双色LED指示其工作状态；</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（10）间歇故障时间设置功能：间歇断路功能可模拟线束连接器处于接触不良的状态,每一路均可独立设置其间歇通/断时间，时间范围为0.1~25S（设定的时间小数点为1位）；</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（11）多样式连接方式：除使用WIFI连接外,也可通过USB口连接到PC电脑（不需使用WIFI时），此时通过USB口直接发送故障设置数据，更方便快捷；</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12）故障设置显示功能：设备部件线路处于直通状态时，下位机相对应线路的显示灯为绿色常亮状态；虚接状态时，下位机相对应线路的显示灯为红色常亮状态；断路状态时，下位机相对应线路的显示灯为熄灭状态；间歇性故障状态时，下位机相对应线路的显示灯为绿色闪烁状态；</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（13）一键或手动清除功能：具有一键清除或手动清除已设故障内容；</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（14）故障查询功能：可一键查询下位机已设置的故障点；当汽车综合教学管理平台软件退出并重新进入到“故障设置”时，可通过故障查询菜单对已设定故障内容信息进行查询；</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15）可设置的故障列表名称≥50个，支持故障名称个性化修改并同步功能：可对故障列表名称进行个性化定义修改，通过无线方式导入及导出故障信号列表，可在多个上位机软件运行终端间实现同步数据，因此不再需要手动配置各平板或手机等使用终端上位机软件中台架设备的信号列表；</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（16）断电恢复功能：下位机断电后重新上电，自动恢复上次故障设置内容；</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（17）投标人所投汽车综合教学管理软件要求性能成熟稳定，投标文件文件中提供相关计算机软件著作权登记证书复印件并加盖制造商公章。</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四、配套WIFI示波器与信号发生器</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1.WIFI无线示波器通过内置高性能无线WIFI模式与应用软件界面进行连接，不仅支持AP模式产生热点，还能连接到标准路由器，与同一网络下的其它主机进行通信；</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2.通过USB口与电脑连接时，不需安装驱动程序即可配置设备的参数，包括WIFI密码，SSID等设置；</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3.内置一个高度可定制的DDS波形信号发生器，能输出正弦，矩形，三角，单/双沿阶梯波，白噪声，单极性矩形波。波形占空比，振幅可调节。频率可调；</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4.网络延迟测量功能，电量显示等辅助功能；</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5.内置锂电，并使用标准电压进行充电。有效延迟电池的使用寿命。其标准工作模式使用时间达到5个小时连续时间。具有自动断电功能，当开机一段时间内，无数据连接时，设备自动关机以有效节约电能；</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6.具有安卓端APP软件，WINDOWS端应用程序软件。可通过触摸屏进行参数设置及操作，在平板电脑及手机均可兼容。</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7.WIFI连接配置：配置设备的WIFI连接；</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8.建立WIFI通信：连接设备的WIFI信号；</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9.多机屏幕共享：通过连接中位机的WIFI信号，可多台PC终端机连接；</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 xml:space="preserve">10.WIFI示波器调节显示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（1）水平通道调节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（2）垂直灵敏度调节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（3）触发范围调节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（4）信号发生器波形调节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11.该软件要求性能成熟稳定，投标文件中提供WIFI示波器与信号发生器的计算机软件著作权登记证书及软件测试报告复印件并加盖制造商公章。</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五、工艺要求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1.台架采用国标型材制作而成，经久耐用不生锈，带万向脚轮，便于移动；</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2.面板材料采用铝塑板制作，电路图经过处理后用大型平板打印机打印，电路图打印效果平整无凹凸感且不少于四种颜色，经久耐用；</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3.面板架外观采用铝塑板封边，外观高档、美观；</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4.固定零部件采用电脑激光雕刻机加工，美观度且不刺手。</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六、为方便设备与教材配套结合使用，该设备要求配套制造商参与或组织编写《新能源汽车电机驱动系统检修》类教材，投标文件中提供书刊号及教材封面复印件。</w:t>
            </w:r>
          </w:p>
        </w:tc>
        <w:tc>
          <w:tcPr>
            <w:tcW w:w="836"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900" w:type="dxa"/>
            <w:tcBorders>
              <w:top w:val="single" w:sz="4" w:space="0" w:color="000000"/>
              <w:left w:val="single" w:sz="4" w:space="0" w:color="000000"/>
              <w:bottom w:val="single" w:sz="4" w:space="0" w:color="000000"/>
              <w:right w:val="single" w:sz="4" w:space="0" w:color="000000"/>
            </w:tcBorders>
            <w:vAlign w:val="center"/>
          </w:tcPr>
          <w:p w:rsidR="004B3CC1" w:rsidRDefault="00DB2F5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bl>
    <w:p w:rsidR="004B3CC1" w:rsidRDefault="004B3CC1">
      <w:pPr>
        <w:jc w:val="center"/>
      </w:pPr>
    </w:p>
    <w:p w:rsidR="004B3CC1" w:rsidRDefault="004B3CC1"/>
    <w:p w:rsidR="004B3CC1" w:rsidRDefault="004B3CC1"/>
    <w:p w:rsidR="004B3CC1" w:rsidRDefault="00DB2F50">
      <w:pPr>
        <w:rPr>
          <w:rFonts w:ascii="宋体" w:hAnsi="宋体"/>
          <w:szCs w:val="21"/>
        </w:rPr>
      </w:pPr>
      <w:r>
        <w:rPr>
          <w:rFonts w:ascii="宋体" w:hAnsi="宋体" w:hint="eastAsia"/>
          <w:b/>
          <w:szCs w:val="21"/>
        </w:rPr>
        <w:t>三、采购项目商务要求</w:t>
      </w:r>
      <w:r>
        <w:rPr>
          <w:rFonts w:ascii="宋体" w:hAnsi="宋体" w:hint="eastAsia"/>
          <w:szCs w:val="21"/>
        </w:rPr>
        <w:t>：</w:t>
      </w:r>
    </w:p>
    <w:p w:rsidR="004B3CC1" w:rsidRDefault="00DB2F50">
      <w:pPr>
        <w:spacing w:line="360" w:lineRule="auto"/>
        <w:rPr>
          <w:rFonts w:ascii="宋体" w:hAnsi="宋体"/>
          <w:szCs w:val="21"/>
        </w:rPr>
      </w:pPr>
      <w:r>
        <w:rPr>
          <w:rFonts w:ascii="宋体" w:hAnsi="宋体" w:hint="eastAsia"/>
          <w:szCs w:val="21"/>
        </w:rPr>
        <w:t xml:space="preserve">1、供货要求：货物为本次招标前原制造商制造的非淘汰类全新产品，无污染，无侵权行为、表面无划损、无任何缺陷隐患，在中国境内可依常规安全合法使用。货物为原厂商未启封全新包装，具出厂合格证，序列号、包装箱号与出厂批号一致，并可追索查阅。应附关键主机设备的用户手册、保修手册、有关单证资料及配备件、随机工具等，设备使用操作及安全须知等重要资料应附有中文说明。进口产品必须具备原产地证明和商检局的检验证明及合法进货渠道证明。                                                        </w:t>
      </w:r>
    </w:p>
    <w:p w:rsidR="004B3CC1" w:rsidRDefault="00DB2F50">
      <w:pPr>
        <w:spacing w:line="360" w:lineRule="auto"/>
        <w:rPr>
          <w:rFonts w:ascii="宋体" w:hAnsi="宋体"/>
          <w:szCs w:val="21"/>
        </w:rPr>
      </w:pPr>
      <w:r>
        <w:rPr>
          <w:rFonts w:ascii="宋体" w:hAnsi="宋体" w:hint="eastAsia"/>
          <w:szCs w:val="21"/>
        </w:rPr>
        <w:t>2、报价要求：</w:t>
      </w:r>
      <w:r>
        <w:rPr>
          <w:rFonts w:ascii="宋体" w:hAnsi="宋体"/>
          <w:szCs w:val="21"/>
        </w:rPr>
        <w:t>报价应包括供货方设计、安装、随机零配件、标配工具、运输保险、调试、培训、质保期服务、各项税费及合同实施过程中不可预见费用等。</w:t>
      </w:r>
      <w:r>
        <w:rPr>
          <w:rFonts w:ascii="宋体" w:hAnsi="宋体" w:hint="eastAsia"/>
          <w:szCs w:val="21"/>
        </w:rPr>
        <w:t xml:space="preserve">              </w:t>
      </w:r>
    </w:p>
    <w:p w:rsidR="004B3CC1" w:rsidRDefault="00DB2F50">
      <w:pPr>
        <w:spacing w:line="360" w:lineRule="auto"/>
        <w:rPr>
          <w:rFonts w:ascii="宋体" w:hAnsi="宋体"/>
          <w:szCs w:val="21"/>
        </w:rPr>
      </w:pPr>
      <w:r>
        <w:rPr>
          <w:rFonts w:ascii="宋体" w:hAnsi="宋体" w:hint="eastAsia"/>
          <w:szCs w:val="21"/>
        </w:rPr>
        <w:t>3、供货要求：按采购人的要求在指定的时间和地点完成。</w:t>
      </w:r>
    </w:p>
    <w:p w:rsidR="004B3CC1" w:rsidRDefault="00DB2F50">
      <w:pPr>
        <w:spacing w:line="360" w:lineRule="auto"/>
        <w:rPr>
          <w:rFonts w:ascii="宋体" w:hAnsi="宋体"/>
          <w:szCs w:val="21"/>
        </w:rPr>
      </w:pPr>
      <w:r>
        <w:rPr>
          <w:rFonts w:ascii="宋体" w:hAnsi="宋体" w:hint="eastAsia"/>
          <w:szCs w:val="21"/>
        </w:rPr>
        <w:t>4、交货时间：中标单位签订合同后在20天内交货。</w:t>
      </w:r>
    </w:p>
    <w:p w:rsidR="004B3CC1" w:rsidRDefault="00DB2F50">
      <w:pPr>
        <w:spacing w:line="360" w:lineRule="auto"/>
        <w:rPr>
          <w:rFonts w:ascii="宋体" w:hAnsi="宋体"/>
          <w:szCs w:val="21"/>
        </w:rPr>
      </w:pPr>
      <w:r>
        <w:rPr>
          <w:rFonts w:ascii="宋体" w:hAnsi="宋体" w:hint="eastAsia"/>
          <w:szCs w:val="21"/>
        </w:rPr>
        <w:t xml:space="preserve">5、交货地点：广东松山职业技术学院内采购人指定地点。    </w:t>
      </w:r>
    </w:p>
    <w:p w:rsidR="004B3CC1" w:rsidRDefault="00DB2F50">
      <w:pPr>
        <w:spacing w:line="360" w:lineRule="auto"/>
        <w:rPr>
          <w:rFonts w:ascii="宋体" w:hAnsi="宋体"/>
          <w:b/>
          <w:szCs w:val="21"/>
        </w:rPr>
      </w:pPr>
      <w:r>
        <w:rPr>
          <w:rFonts w:ascii="宋体" w:hAnsi="宋体" w:hint="eastAsia"/>
          <w:b/>
          <w:szCs w:val="21"/>
        </w:rPr>
        <w:t>四、设备要求</w:t>
      </w:r>
    </w:p>
    <w:p w:rsidR="004B3CC1" w:rsidRDefault="00DB2F50">
      <w:pPr>
        <w:spacing w:line="360" w:lineRule="auto"/>
        <w:ind w:left="211" w:hanging="211"/>
        <w:rPr>
          <w:rFonts w:ascii="宋体" w:hAnsi="宋体"/>
          <w:szCs w:val="21"/>
        </w:rPr>
      </w:pPr>
      <w:r>
        <w:rPr>
          <w:rFonts w:ascii="宋体" w:hAnsi="宋体" w:hint="eastAsia"/>
          <w:szCs w:val="21"/>
        </w:rPr>
        <w:t>1、货物为原制造商制造的全新产品，整机无污染，无侵权行为、表面无划损、无任何缺陷隐患，在中国境内可依常规安全合法使用。</w:t>
      </w:r>
    </w:p>
    <w:p w:rsidR="004B3CC1" w:rsidRDefault="00DB2F50">
      <w:pPr>
        <w:spacing w:line="360" w:lineRule="auto"/>
        <w:rPr>
          <w:rFonts w:ascii="宋体" w:hAnsi="宋体"/>
          <w:szCs w:val="21"/>
        </w:rPr>
      </w:pPr>
      <w:r>
        <w:rPr>
          <w:rFonts w:ascii="宋体" w:hAnsi="宋体" w:hint="eastAsia"/>
          <w:szCs w:val="21"/>
        </w:rPr>
        <w:t>2、交付验收标准</w:t>
      </w:r>
      <w:r>
        <w:rPr>
          <w:rFonts w:ascii="宋体" w:hAnsi="宋体" w:hint="eastAsia"/>
          <w:szCs w:val="21"/>
          <w:lang w:val="en-GB"/>
        </w:rPr>
        <w:t>依次序对照适用标准为：</w:t>
      </w:r>
      <w:r>
        <w:rPr>
          <w:rFonts w:ascii="宋体" w:hAnsi="宋体" w:hint="eastAsia"/>
          <w:szCs w:val="21"/>
        </w:rPr>
        <w:t xml:space="preserve">①符合中华人民共和国国家安全质量标准、环保标准或行业标准；②符合采购文件和响应承诺中甲方认可的合理最佳配置、参数及各项要求；③货物来源国官方标准。    </w:t>
      </w:r>
    </w:p>
    <w:p w:rsidR="004B3CC1" w:rsidRDefault="00DB2F50">
      <w:pPr>
        <w:spacing w:line="360" w:lineRule="auto"/>
        <w:rPr>
          <w:rFonts w:ascii="宋体" w:hAnsi="宋体"/>
          <w:szCs w:val="21"/>
        </w:rPr>
      </w:pPr>
      <w:r>
        <w:rPr>
          <w:rFonts w:ascii="宋体" w:hAnsi="宋体" w:hint="eastAsia"/>
          <w:szCs w:val="21"/>
        </w:rPr>
        <w:t>3、进口产品必须具备原产地证明和商检局的检验证明及合法进货渠道证明。</w:t>
      </w:r>
    </w:p>
    <w:p w:rsidR="004B3CC1" w:rsidRDefault="00DB2F50">
      <w:pPr>
        <w:tabs>
          <w:tab w:val="left" w:pos="735"/>
        </w:tabs>
        <w:spacing w:line="360" w:lineRule="auto"/>
        <w:rPr>
          <w:rFonts w:ascii="宋体" w:hAnsi="宋体"/>
          <w:szCs w:val="21"/>
        </w:rPr>
      </w:pPr>
      <w:r>
        <w:rPr>
          <w:rFonts w:ascii="宋体" w:hAnsi="宋体" w:hint="eastAsia"/>
          <w:szCs w:val="21"/>
        </w:rPr>
        <w:t>4、货物为原厂商未启封全新包装，具出厂合格证，序列号、包装箱号与出厂批号一致，并可追索查阅。</w:t>
      </w:r>
    </w:p>
    <w:p w:rsidR="004B3CC1" w:rsidRDefault="00DB2F50">
      <w:pPr>
        <w:spacing w:line="360" w:lineRule="auto"/>
        <w:rPr>
          <w:rFonts w:ascii="宋体" w:hAnsi="宋体"/>
          <w:b/>
          <w:szCs w:val="21"/>
        </w:rPr>
      </w:pPr>
      <w:r>
        <w:rPr>
          <w:rFonts w:ascii="宋体" w:hAnsi="宋体" w:hint="eastAsia"/>
          <w:b/>
          <w:szCs w:val="21"/>
        </w:rPr>
        <w:t>五、报价要求</w:t>
      </w:r>
    </w:p>
    <w:p w:rsidR="004B3CC1" w:rsidRDefault="00DB2F50">
      <w:pPr>
        <w:spacing w:line="360" w:lineRule="auto"/>
        <w:rPr>
          <w:rFonts w:ascii="宋体" w:hAnsi="宋体"/>
        </w:rPr>
      </w:pPr>
      <w:r>
        <w:rPr>
          <w:rFonts w:ascii="宋体" w:hAnsi="宋体" w:hint="eastAsia"/>
        </w:rPr>
        <w:t>1、本次采购预算金额为：</w:t>
      </w:r>
      <w:r>
        <w:rPr>
          <w:rFonts w:ascii="宋体" w:hAnsi="宋体" w:hint="eastAsia"/>
          <w:u w:val="single"/>
        </w:rPr>
        <w:t>20.1</w:t>
      </w:r>
      <w:r>
        <w:rPr>
          <w:rFonts w:ascii="宋体" w:hAnsi="宋体"/>
          <w:u w:val="single"/>
        </w:rPr>
        <w:t>512</w:t>
      </w:r>
      <w:r>
        <w:rPr>
          <w:rFonts w:ascii="宋体" w:hAnsi="宋体" w:hint="eastAsia"/>
        </w:rPr>
        <w:t>万元。投标价不得超出其限价，否则视为无效投标。</w:t>
      </w:r>
    </w:p>
    <w:p w:rsidR="004B3CC1" w:rsidRDefault="00DB2F50">
      <w:pPr>
        <w:spacing w:line="360" w:lineRule="auto"/>
        <w:rPr>
          <w:rFonts w:ascii="宋体" w:hAnsi="宋体"/>
        </w:rPr>
      </w:pPr>
      <w:r>
        <w:rPr>
          <w:rFonts w:ascii="宋体" w:hAnsi="宋体" w:hint="eastAsia"/>
        </w:rPr>
        <w:t>2、投标总报价包括完成本项目的成本、利润、运费、税金全部费用。</w:t>
      </w:r>
    </w:p>
    <w:p w:rsidR="004B3CC1" w:rsidRDefault="00DB2F50">
      <w:pPr>
        <w:spacing w:line="360" w:lineRule="auto"/>
        <w:rPr>
          <w:rFonts w:ascii="宋体" w:hAnsi="宋体"/>
          <w:szCs w:val="21"/>
        </w:rPr>
      </w:pPr>
      <w:r>
        <w:rPr>
          <w:rFonts w:ascii="宋体" w:hAnsi="宋体" w:hint="eastAsia"/>
          <w:b/>
          <w:szCs w:val="21"/>
        </w:rPr>
        <w:t>六、付款方式</w:t>
      </w:r>
    </w:p>
    <w:p w:rsidR="004B3CC1" w:rsidRDefault="00DB2F50">
      <w:pPr>
        <w:spacing w:line="360" w:lineRule="auto"/>
        <w:rPr>
          <w:rFonts w:ascii="宋体" w:hAnsi="宋体"/>
          <w:szCs w:val="21"/>
        </w:rPr>
      </w:pPr>
      <w:r>
        <w:rPr>
          <w:rFonts w:ascii="宋体" w:hAnsi="宋体" w:hint="eastAsia"/>
          <w:szCs w:val="21"/>
        </w:rPr>
        <w:t>1、合同签订前，中标人应向采购人交纳合同总金额5%履约保证金，待合同质保期满，无息一次性退还。</w:t>
      </w:r>
    </w:p>
    <w:p w:rsidR="004B3CC1" w:rsidRDefault="00DB2F50">
      <w:pPr>
        <w:spacing w:line="360" w:lineRule="auto"/>
        <w:rPr>
          <w:rFonts w:ascii="宋体" w:hAnsi="宋体"/>
          <w:szCs w:val="21"/>
        </w:rPr>
      </w:pPr>
      <w:r>
        <w:rPr>
          <w:rFonts w:ascii="宋体" w:hAnsi="宋体" w:hint="eastAsia"/>
          <w:szCs w:val="21"/>
        </w:rPr>
        <w:t>2、全部货物送达并验收合格后，15个工作日内付合同总金额的100%款。</w:t>
      </w:r>
    </w:p>
    <w:p w:rsidR="004B3CC1" w:rsidRDefault="00DB2F50">
      <w:pPr>
        <w:spacing w:line="360" w:lineRule="auto"/>
        <w:rPr>
          <w:rFonts w:ascii="宋体" w:hAnsi="宋体"/>
          <w:szCs w:val="21"/>
        </w:rPr>
      </w:pPr>
      <w:r>
        <w:rPr>
          <w:rFonts w:ascii="宋体" w:hAnsi="宋体" w:hint="eastAsia"/>
          <w:szCs w:val="21"/>
        </w:rPr>
        <w:t>3、支付款时，中标人同时向采购人提供相应金额的正式发票。</w:t>
      </w:r>
    </w:p>
    <w:p w:rsidR="004B3CC1" w:rsidRDefault="00DB2F50">
      <w:pPr>
        <w:spacing w:line="360" w:lineRule="auto"/>
        <w:rPr>
          <w:rFonts w:ascii="宋体" w:hAnsi="宋体"/>
          <w:szCs w:val="21"/>
        </w:rPr>
      </w:pPr>
      <w:r>
        <w:rPr>
          <w:rFonts w:ascii="宋体" w:hAnsi="宋体" w:hint="eastAsia"/>
          <w:szCs w:val="21"/>
        </w:rPr>
        <w:t>4、上述付款时间为甲方向政府采购支付部门提出支付申请的时间，不含政府财政支付部门审查的时间。</w:t>
      </w:r>
    </w:p>
    <w:p w:rsidR="004B3CC1" w:rsidRDefault="00DB2F50">
      <w:pPr>
        <w:spacing w:line="360" w:lineRule="auto"/>
        <w:rPr>
          <w:rFonts w:ascii="宋体" w:hAnsi="宋体"/>
          <w:b/>
          <w:szCs w:val="21"/>
        </w:rPr>
      </w:pPr>
      <w:r>
        <w:rPr>
          <w:rFonts w:ascii="宋体" w:hAnsi="宋体" w:hint="eastAsia"/>
          <w:b/>
          <w:szCs w:val="21"/>
        </w:rPr>
        <w:t>七、质保期及售后服务要求</w:t>
      </w:r>
    </w:p>
    <w:p w:rsidR="004B3CC1" w:rsidRDefault="00DB2F50">
      <w:pPr>
        <w:spacing w:line="360" w:lineRule="auto"/>
        <w:rPr>
          <w:rFonts w:ascii="宋体" w:hAnsi="宋体"/>
          <w:szCs w:val="21"/>
        </w:rPr>
      </w:pPr>
      <w:r>
        <w:rPr>
          <w:rFonts w:ascii="宋体" w:hAnsi="宋体" w:hint="eastAsia"/>
          <w:szCs w:val="21"/>
        </w:rPr>
        <w:t>1、本合同的质量保证期（简称“质保期”）为</w:t>
      </w:r>
      <w:r w:rsidR="008A09F8">
        <w:rPr>
          <w:rFonts w:ascii="宋体" w:hAnsi="宋体" w:hint="eastAsia"/>
          <w:szCs w:val="21"/>
          <w:u w:val="single"/>
        </w:rPr>
        <w:t>三</w:t>
      </w:r>
      <w:r>
        <w:rPr>
          <w:rFonts w:ascii="宋体" w:hAnsi="宋体" w:hint="eastAsia"/>
          <w:szCs w:val="21"/>
        </w:rPr>
        <w:t>年，质保期内中标人对所供货物实行包修、包换、包退、包维护保养，期满后可同时提供终身有偿维修保养服务。</w:t>
      </w:r>
    </w:p>
    <w:p w:rsidR="004B3CC1" w:rsidRDefault="00DB2F50">
      <w:pPr>
        <w:spacing w:line="360" w:lineRule="auto"/>
        <w:rPr>
          <w:rFonts w:ascii="宋体" w:hAnsi="宋体"/>
          <w:szCs w:val="21"/>
        </w:rPr>
      </w:pPr>
      <w:r>
        <w:rPr>
          <w:rFonts w:ascii="宋体" w:hAnsi="宋体" w:hint="eastAsia"/>
          <w:szCs w:val="21"/>
        </w:rPr>
        <w:t>2、质保期内，如设备或零部件因非人为因素出现故障而造成短期停用时，则质保期和免费维修期相应顺延。如停用时间累计超过60天则质保期重新计算。</w:t>
      </w:r>
    </w:p>
    <w:p w:rsidR="004B3CC1" w:rsidRDefault="00DB2F50">
      <w:pPr>
        <w:spacing w:line="360" w:lineRule="auto"/>
        <w:rPr>
          <w:rFonts w:ascii="宋体" w:hAnsi="宋体"/>
          <w:szCs w:val="21"/>
        </w:rPr>
      </w:pPr>
      <w:r>
        <w:rPr>
          <w:rFonts w:ascii="宋体" w:hAnsi="宋体" w:hint="eastAsia"/>
          <w:szCs w:val="21"/>
        </w:rPr>
        <w:t>3、对采购人的服务通知，中标人在接报后1小时内响应，</w:t>
      </w:r>
      <w:r>
        <w:rPr>
          <w:rFonts w:ascii="宋体" w:hAnsi="宋体"/>
          <w:szCs w:val="21"/>
        </w:rPr>
        <w:t>12</w:t>
      </w:r>
      <w:r>
        <w:rPr>
          <w:rFonts w:ascii="宋体" w:hAnsi="宋体" w:hint="eastAsia"/>
          <w:szCs w:val="21"/>
        </w:rPr>
        <w:t>小时内到达现场，48小时内处理完毕。若在48小时内仍未能有效解决，中标人须免费提供同档次的设备予采购人临时使用。</w:t>
      </w:r>
    </w:p>
    <w:p w:rsidR="004B3CC1" w:rsidRDefault="00DB2F50">
      <w:pPr>
        <w:spacing w:line="360" w:lineRule="auto"/>
        <w:rPr>
          <w:rFonts w:ascii="宋体" w:hAnsi="宋体"/>
          <w:b/>
          <w:bCs/>
          <w:szCs w:val="21"/>
        </w:rPr>
      </w:pPr>
      <w:r>
        <w:rPr>
          <w:rFonts w:ascii="宋体" w:hAnsi="宋体" w:hint="eastAsia"/>
          <w:b/>
          <w:bCs/>
          <w:szCs w:val="21"/>
        </w:rPr>
        <w:t>八、验收：</w:t>
      </w:r>
    </w:p>
    <w:p w:rsidR="004B3CC1" w:rsidRDefault="00DB2F50">
      <w:pPr>
        <w:tabs>
          <w:tab w:val="left" w:pos="900"/>
        </w:tabs>
        <w:spacing w:line="360" w:lineRule="auto"/>
        <w:rPr>
          <w:rFonts w:ascii="宋体" w:hAnsi="宋体"/>
          <w:szCs w:val="21"/>
        </w:rPr>
      </w:pPr>
      <w:r>
        <w:rPr>
          <w:rFonts w:ascii="宋体" w:hAnsi="宋体" w:hint="eastAsia"/>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rsidR="004B3CC1" w:rsidRDefault="00DB2F50">
      <w:pPr>
        <w:tabs>
          <w:tab w:val="left" w:pos="900"/>
        </w:tabs>
        <w:spacing w:line="360" w:lineRule="auto"/>
        <w:rPr>
          <w:rFonts w:ascii="宋体" w:hAnsi="宋体"/>
          <w:szCs w:val="21"/>
        </w:rPr>
      </w:pPr>
      <w:r>
        <w:rPr>
          <w:rFonts w:ascii="宋体" w:hAnsi="宋体" w:hint="eastAsia"/>
          <w:szCs w:val="21"/>
        </w:rPr>
        <w:t>2、进口产品必须具备原产地证明和商检局的检验证明及合法进货渠道证明。评审小组在各投标人的报价有限期内有权要求投标人提供进口货物的报关单。</w:t>
      </w:r>
    </w:p>
    <w:p w:rsidR="004B3CC1" w:rsidRDefault="00DB2F50">
      <w:pPr>
        <w:tabs>
          <w:tab w:val="left" w:pos="900"/>
        </w:tabs>
        <w:spacing w:line="360" w:lineRule="auto"/>
        <w:rPr>
          <w:rFonts w:ascii="宋体" w:hAnsi="宋体"/>
          <w:szCs w:val="21"/>
        </w:rPr>
      </w:pPr>
      <w:r>
        <w:rPr>
          <w:rFonts w:ascii="宋体" w:hAnsi="宋体" w:hint="eastAsia"/>
          <w:szCs w:val="21"/>
        </w:rPr>
        <w:t>3、货物为原厂商未启封全新包装，具出厂合格证，序列号、包装箱号与出厂批号一致，并可追索查阅。所有随设备的附件必须齐全。</w:t>
      </w:r>
    </w:p>
    <w:p w:rsidR="004B3CC1" w:rsidRDefault="00DB2F50">
      <w:pPr>
        <w:tabs>
          <w:tab w:val="left" w:pos="900"/>
        </w:tabs>
        <w:spacing w:line="360" w:lineRule="auto"/>
        <w:rPr>
          <w:rFonts w:ascii="宋体" w:hAnsi="宋体"/>
          <w:szCs w:val="21"/>
        </w:rPr>
      </w:pPr>
      <w:r>
        <w:rPr>
          <w:rFonts w:ascii="宋体" w:hAnsi="宋体" w:hint="eastAsia"/>
          <w:szCs w:val="21"/>
        </w:rPr>
        <w:t>4、投标人应将关键主机设备的用户手册、保修手册、有关单证资料及配备件、随机工具等交付给采购人，使用操作及安全须知等重要资料应附有中文说明。</w:t>
      </w:r>
    </w:p>
    <w:p w:rsidR="004B3CC1" w:rsidRDefault="00DB2F50">
      <w:pPr>
        <w:tabs>
          <w:tab w:val="left" w:pos="900"/>
        </w:tabs>
        <w:spacing w:line="360" w:lineRule="auto"/>
        <w:rPr>
          <w:rFonts w:ascii="宋体" w:hAnsi="宋体"/>
          <w:szCs w:val="21"/>
        </w:rPr>
      </w:pPr>
      <w:r>
        <w:rPr>
          <w:rFonts w:ascii="宋体" w:hAnsi="宋体" w:hint="eastAsia"/>
          <w:szCs w:val="21"/>
        </w:rPr>
        <w:t>5、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rsidR="004B3CC1" w:rsidRDefault="00DB2F50">
      <w:pPr>
        <w:tabs>
          <w:tab w:val="left" w:pos="900"/>
        </w:tabs>
        <w:spacing w:line="360" w:lineRule="auto"/>
        <w:rPr>
          <w:rFonts w:ascii="宋体" w:hAnsi="宋体"/>
          <w:b/>
          <w:szCs w:val="21"/>
        </w:rPr>
      </w:pPr>
      <w:r>
        <w:rPr>
          <w:rFonts w:ascii="宋体" w:hAnsi="宋体" w:hint="eastAsia"/>
          <w:b/>
          <w:bCs/>
          <w:szCs w:val="21"/>
        </w:rPr>
        <w:t>九、</w:t>
      </w:r>
      <w:r>
        <w:rPr>
          <w:rFonts w:ascii="宋体" w:hAnsi="宋体" w:hint="eastAsia"/>
          <w:b/>
          <w:szCs w:val="21"/>
        </w:rPr>
        <w:t>违约责任与赔偿损失</w:t>
      </w:r>
    </w:p>
    <w:p w:rsidR="004B3CC1" w:rsidRDefault="00DB2F50">
      <w:pPr>
        <w:tabs>
          <w:tab w:val="left" w:pos="900"/>
        </w:tabs>
        <w:spacing w:line="360" w:lineRule="auto"/>
        <w:rPr>
          <w:rFonts w:ascii="宋体" w:hAnsi="宋体"/>
          <w:szCs w:val="21"/>
        </w:rPr>
      </w:pPr>
      <w:r>
        <w:rPr>
          <w:rFonts w:ascii="宋体" w:hAnsi="宋体" w:hint="eastAsia"/>
          <w:szCs w:val="21"/>
        </w:rPr>
        <w:t>1、中标人交付的货物、提供的服务不符合采购文件、报价文件或本合同规定的，采购人有权拒收，并且中标人须向采购人支付本合同总价5%的违约金。</w:t>
      </w:r>
    </w:p>
    <w:p w:rsidR="004B3CC1" w:rsidRDefault="00DB2F50">
      <w:pPr>
        <w:tabs>
          <w:tab w:val="left" w:pos="720"/>
          <w:tab w:val="left" w:pos="900"/>
        </w:tabs>
        <w:spacing w:line="360" w:lineRule="auto"/>
        <w:ind w:right="210"/>
        <w:rPr>
          <w:rFonts w:ascii="宋体" w:hAnsi="宋体"/>
          <w:szCs w:val="21"/>
        </w:rPr>
      </w:pPr>
      <w:r>
        <w:rPr>
          <w:rFonts w:ascii="宋体" w:hAnsi="宋体" w:hint="eastAsia"/>
          <w:szCs w:val="21"/>
        </w:rPr>
        <w:t>2、中标人未能按本合同规定的交货时间交付货物或提供服务的，从逾期之日起每日按本合同总价3‰的数额向采购人支付违约金；逾期半个月以上的，采购人有权终止合同，由此造成的采购人经济损失由中标人承担。</w:t>
      </w:r>
    </w:p>
    <w:p w:rsidR="004B3CC1" w:rsidRDefault="00DB2F50">
      <w:pPr>
        <w:spacing w:line="360" w:lineRule="auto"/>
        <w:rPr>
          <w:rFonts w:ascii="宋体" w:hAnsi="宋体"/>
          <w:szCs w:val="21"/>
        </w:rPr>
      </w:pPr>
      <w:r>
        <w:rPr>
          <w:rFonts w:ascii="宋体" w:hAnsi="宋体" w:hint="eastAsia"/>
          <w:szCs w:val="21"/>
        </w:rPr>
        <w:t>3、采购人无正当理由拒收货物或接受服务的，到期拒付货物或服务款项的，采购人向中标人偿付本合同总的5%的违约金。采购人逾期付款，则每日按本合同总价的3‰向中标人偿付违约金。</w:t>
      </w:r>
    </w:p>
    <w:p w:rsidR="004B3CC1" w:rsidRDefault="00DB2F50">
      <w:pPr>
        <w:rPr>
          <w:rFonts w:ascii="宋体" w:hAnsi="宋体"/>
          <w:szCs w:val="21"/>
        </w:rPr>
      </w:pPr>
      <w:r>
        <w:rPr>
          <w:rFonts w:ascii="宋体" w:hAnsi="宋体" w:hint="eastAsia"/>
          <w:bCs/>
          <w:szCs w:val="21"/>
        </w:rPr>
        <w:t>4、其它违约责任按《中华人民共和国合同法》处理。</w:t>
      </w:r>
    </w:p>
    <w:p w:rsidR="004B3CC1" w:rsidRDefault="00DB2F50">
      <w:pPr>
        <w:tabs>
          <w:tab w:val="left" w:pos="3210"/>
        </w:tabs>
        <w:spacing w:beforeLines="50" w:before="156" w:afterLines="50" w:after="156" w:line="360" w:lineRule="auto"/>
        <w:jc w:val="left"/>
        <w:rPr>
          <w:rFonts w:ascii="宋体" w:hAnsi="宋体" w:cs="宋体"/>
          <w:b/>
          <w:bCs/>
          <w:szCs w:val="21"/>
        </w:rPr>
      </w:pPr>
      <w:r>
        <w:rPr>
          <w:rFonts w:ascii="宋体" w:hAnsi="宋体" w:cs="宋体" w:hint="eastAsia"/>
          <w:b/>
          <w:bCs/>
          <w:szCs w:val="21"/>
        </w:rPr>
        <w:t>十、技术、商务及价格评标权重分配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03"/>
        <w:gridCol w:w="2104"/>
        <w:gridCol w:w="2104"/>
        <w:gridCol w:w="2104"/>
      </w:tblGrid>
      <w:tr w:rsidR="004B3CC1">
        <w:trPr>
          <w:trHeight w:val="400"/>
          <w:jc w:val="center"/>
        </w:trPr>
        <w:tc>
          <w:tcPr>
            <w:tcW w:w="2103" w:type="dxa"/>
            <w:vAlign w:val="center"/>
          </w:tcPr>
          <w:p w:rsidR="004B3CC1" w:rsidRDefault="00DB2F50">
            <w:pPr>
              <w:tabs>
                <w:tab w:val="left" w:pos="3210"/>
              </w:tabs>
              <w:spacing w:line="360" w:lineRule="auto"/>
              <w:jc w:val="center"/>
              <w:rPr>
                <w:rFonts w:ascii="宋体" w:hAnsi="宋体" w:cs="宋体"/>
                <w:b/>
                <w:bCs/>
                <w:szCs w:val="21"/>
              </w:rPr>
            </w:pPr>
            <w:r>
              <w:rPr>
                <w:rFonts w:ascii="宋体" w:hAnsi="宋体" w:cs="Arial" w:hint="eastAsia"/>
                <w:b/>
                <w:bCs/>
              </w:rPr>
              <w:t>评分项目</w:t>
            </w:r>
          </w:p>
        </w:tc>
        <w:tc>
          <w:tcPr>
            <w:tcW w:w="2104" w:type="dxa"/>
            <w:vAlign w:val="center"/>
          </w:tcPr>
          <w:p w:rsidR="004B3CC1" w:rsidRDefault="00DB2F50">
            <w:pPr>
              <w:tabs>
                <w:tab w:val="left" w:pos="3210"/>
              </w:tabs>
              <w:spacing w:line="360" w:lineRule="auto"/>
              <w:jc w:val="center"/>
              <w:rPr>
                <w:rFonts w:ascii="宋体" w:hAnsi="宋体" w:cs="宋体"/>
                <w:b/>
                <w:bCs/>
                <w:szCs w:val="21"/>
              </w:rPr>
            </w:pPr>
            <w:r>
              <w:rPr>
                <w:rFonts w:ascii="宋体" w:hAnsi="宋体" w:cs="Arial" w:hint="eastAsia"/>
                <w:b/>
                <w:bCs/>
              </w:rPr>
              <w:t>技术评分</w:t>
            </w:r>
          </w:p>
        </w:tc>
        <w:tc>
          <w:tcPr>
            <w:tcW w:w="2104" w:type="dxa"/>
            <w:vAlign w:val="center"/>
          </w:tcPr>
          <w:p w:rsidR="004B3CC1" w:rsidRDefault="00DB2F50">
            <w:pPr>
              <w:tabs>
                <w:tab w:val="left" w:pos="3210"/>
              </w:tabs>
              <w:spacing w:line="360" w:lineRule="auto"/>
              <w:jc w:val="center"/>
              <w:rPr>
                <w:rFonts w:ascii="宋体" w:hAnsi="宋体" w:cs="宋体"/>
                <w:b/>
                <w:bCs/>
                <w:szCs w:val="21"/>
              </w:rPr>
            </w:pPr>
            <w:r>
              <w:rPr>
                <w:rFonts w:ascii="宋体" w:hAnsi="宋体" w:cs="Arial" w:hint="eastAsia"/>
                <w:b/>
                <w:bCs/>
              </w:rPr>
              <w:t>商务评分</w:t>
            </w:r>
          </w:p>
        </w:tc>
        <w:tc>
          <w:tcPr>
            <w:tcW w:w="2104" w:type="dxa"/>
            <w:vAlign w:val="center"/>
          </w:tcPr>
          <w:p w:rsidR="004B3CC1" w:rsidRDefault="00DB2F50">
            <w:pPr>
              <w:tabs>
                <w:tab w:val="left" w:pos="3210"/>
              </w:tabs>
              <w:spacing w:line="360" w:lineRule="auto"/>
              <w:jc w:val="center"/>
              <w:rPr>
                <w:rFonts w:ascii="宋体" w:hAnsi="宋体" w:cs="宋体"/>
                <w:b/>
                <w:bCs/>
                <w:szCs w:val="21"/>
              </w:rPr>
            </w:pPr>
            <w:r>
              <w:rPr>
                <w:rFonts w:ascii="宋体" w:hAnsi="宋体" w:cs="Arial" w:hint="eastAsia"/>
                <w:b/>
                <w:bCs/>
              </w:rPr>
              <w:t>价格评分</w:t>
            </w:r>
          </w:p>
        </w:tc>
      </w:tr>
      <w:tr w:rsidR="004B3CC1">
        <w:trPr>
          <w:trHeight w:val="400"/>
          <w:jc w:val="center"/>
        </w:trPr>
        <w:tc>
          <w:tcPr>
            <w:tcW w:w="2103" w:type="dxa"/>
            <w:vAlign w:val="center"/>
          </w:tcPr>
          <w:p w:rsidR="004B3CC1" w:rsidRDefault="00DB2F50">
            <w:pPr>
              <w:tabs>
                <w:tab w:val="left" w:pos="3210"/>
              </w:tabs>
              <w:spacing w:line="360" w:lineRule="auto"/>
              <w:jc w:val="center"/>
              <w:rPr>
                <w:rFonts w:ascii="宋体" w:hAnsi="宋体" w:cs="宋体"/>
                <w:b/>
                <w:bCs/>
                <w:szCs w:val="21"/>
              </w:rPr>
            </w:pPr>
            <w:r>
              <w:rPr>
                <w:rFonts w:ascii="宋体" w:hAnsi="宋体" w:cs="Arial" w:hint="eastAsia"/>
                <w:b/>
                <w:bCs/>
              </w:rPr>
              <w:t>权    重</w:t>
            </w:r>
          </w:p>
        </w:tc>
        <w:tc>
          <w:tcPr>
            <w:tcW w:w="2104" w:type="dxa"/>
            <w:vAlign w:val="center"/>
          </w:tcPr>
          <w:p w:rsidR="004B3CC1" w:rsidRDefault="00DB2F50">
            <w:pPr>
              <w:tabs>
                <w:tab w:val="left" w:pos="3210"/>
              </w:tabs>
              <w:spacing w:line="360" w:lineRule="auto"/>
              <w:jc w:val="center"/>
              <w:rPr>
                <w:rFonts w:ascii="宋体" w:hAnsi="宋体" w:cs="宋体"/>
                <w:b/>
                <w:bCs/>
                <w:szCs w:val="21"/>
              </w:rPr>
            </w:pPr>
            <w:r>
              <w:rPr>
                <w:rFonts w:ascii="Arial" w:hAnsi="Arial" w:cs="Arial" w:hint="eastAsia"/>
                <w:b/>
                <w:bCs/>
              </w:rPr>
              <w:t>40</w:t>
            </w:r>
            <w:r>
              <w:rPr>
                <w:rFonts w:ascii="Arial" w:hAnsi="Arial" w:cs="Arial"/>
                <w:b/>
                <w:bCs/>
              </w:rPr>
              <w:t>%</w:t>
            </w:r>
          </w:p>
        </w:tc>
        <w:tc>
          <w:tcPr>
            <w:tcW w:w="2104" w:type="dxa"/>
            <w:vAlign w:val="center"/>
          </w:tcPr>
          <w:p w:rsidR="004B3CC1" w:rsidRDefault="00DB2F50">
            <w:pPr>
              <w:tabs>
                <w:tab w:val="left" w:pos="3210"/>
              </w:tabs>
              <w:spacing w:line="360" w:lineRule="auto"/>
              <w:jc w:val="center"/>
              <w:rPr>
                <w:rFonts w:ascii="宋体" w:hAnsi="宋体" w:cs="宋体"/>
                <w:b/>
                <w:bCs/>
                <w:szCs w:val="21"/>
              </w:rPr>
            </w:pPr>
            <w:r>
              <w:rPr>
                <w:rFonts w:ascii="Arial" w:hAnsi="Arial" w:cs="Arial" w:hint="eastAsia"/>
                <w:b/>
                <w:bCs/>
              </w:rPr>
              <w:t>20</w:t>
            </w:r>
            <w:r>
              <w:rPr>
                <w:rFonts w:ascii="Arial" w:hAnsi="Arial" w:cs="Arial"/>
                <w:b/>
                <w:bCs/>
              </w:rPr>
              <w:t>%</w:t>
            </w:r>
          </w:p>
        </w:tc>
        <w:tc>
          <w:tcPr>
            <w:tcW w:w="2104" w:type="dxa"/>
            <w:vAlign w:val="center"/>
          </w:tcPr>
          <w:p w:rsidR="004B3CC1" w:rsidRDefault="00DB2F50">
            <w:pPr>
              <w:tabs>
                <w:tab w:val="left" w:pos="3210"/>
              </w:tabs>
              <w:spacing w:line="360" w:lineRule="auto"/>
              <w:jc w:val="center"/>
              <w:rPr>
                <w:rFonts w:ascii="宋体" w:hAnsi="宋体" w:cs="宋体"/>
                <w:b/>
                <w:bCs/>
                <w:szCs w:val="21"/>
              </w:rPr>
            </w:pPr>
            <w:r>
              <w:rPr>
                <w:rFonts w:ascii="Arial" w:hAnsi="Arial" w:cs="Arial"/>
                <w:b/>
                <w:bCs/>
              </w:rPr>
              <w:t>4</w:t>
            </w:r>
            <w:r>
              <w:rPr>
                <w:rFonts w:ascii="Arial" w:hAnsi="Arial" w:cs="Arial" w:hint="eastAsia"/>
                <w:b/>
                <w:bCs/>
              </w:rPr>
              <w:t>0</w:t>
            </w:r>
            <w:r>
              <w:rPr>
                <w:rFonts w:ascii="Arial" w:hAnsi="Arial" w:cs="Arial"/>
                <w:b/>
                <w:bCs/>
              </w:rPr>
              <w:t>%</w:t>
            </w:r>
          </w:p>
        </w:tc>
      </w:tr>
    </w:tbl>
    <w:p w:rsidR="004B3CC1" w:rsidRDefault="00DB2F50">
      <w:pPr>
        <w:tabs>
          <w:tab w:val="left" w:pos="3210"/>
        </w:tabs>
        <w:spacing w:line="360" w:lineRule="auto"/>
        <w:ind w:firstLineChars="200" w:firstLine="420"/>
        <w:rPr>
          <w:rFonts w:ascii="宋体" w:hAnsi="宋体" w:cs="宋体"/>
          <w:szCs w:val="21"/>
        </w:rPr>
      </w:pPr>
      <w:r>
        <w:rPr>
          <w:rFonts w:ascii="宋体" w:hAnsi="宋体" w:cs="宋体" w:hint="eastAsia"/>
          <w:szCs w:val="21"/>
        </w:rPr>
        <w:t>评标总得分=F1×A1＋F2×A2＋……+Fn×An</w:t>
      </w:r>
    </w:p>
    <w:p w:rsidR="004B3CC1" w:rsidRDefault="00DB2F50">
      <w:pPr>
        <w:tabs>
          <w:tab w:val="left" w:pos="3210"/>
        </w:tabs>
        <w:spacing w:line="360" w:lineRule="auto"/>
        <w:ind w:firstLineChars="200" w:firstLine="420"/>
        <w:rPr>
          <w:rFonts w:ascii="宋体" w:hAnsi="宋体" w:cs="宋体"/>
          <w:szCs w:val="21"/>
        </w:rPr>
      </w:pPr>
      <w:r>
        <w:rPr>
          <w:rFonts w:ascii="宋体" w:hAnsi="宋体" w:cs="宋体" w:hint="eastAsia"/>
          <w:szCs w:val="21"/>
        </w:rPr>
        <w:t>F1、F2、……Fn分别为各项评分因素的得分；</w:t>
      </w:r>
    </w:p>
    <w:p w:rsidR="004B3CC1" w:rsidRDefault="00DB2F50">
      <w:pPr>
        <w:tabs>
          <w:tab w:val="left" w:pos="3210"/>
        </w:tabs>
        <w:spacing w:line="360" w:lineRule="auto"/>
        <w:ind w:firstLineChars="200" w:firstLine="420"/>
        <w:rPr>
          <w:rFonts w:ascii="宋体" w:hAnsi="宋体" w:cs="宋体"/>
          <w:szCs w:val="21"/>
        </w:rPr>
      </w:pPr>
      <w:r>
        <w:rPr>
          <w:rFonts w:ascii="宋体" w:hAnsi="宋体" w:cs="宋体" w:hint="eastAsia"/>
          <w:szCs w:val="21"/>
        </w:rPr>
        <w:t>A1、A2、……An分别为各项评分因素所占的权重（A1+A2+……+An=1）</w:t>
      </w:r>
    </w:p>
    <w:p w:rsidR="004B3CC1" w:rsidRDefault="00DB2F50">
      <w:pPr>
        <w:tabs>
          <w:tab w:val="left" w:pos="3210"/>
        </w:tabs>
        <w:spacing w:line="360" w:lineRule="auto"/>
        <w:ind w:firstLineChars="200" w:firstLine="420"/>
        <w:rPr>
          <w:rFonts w:ascii="宋体" w:hAnsi="宋体" w:cs="宋体"/>
          <w:szCs w:val="21"/>
        </w:rPr>
      </w:pPr>
      <w:r>
        <w:rPr>
          <w:rFonts w:ascii="宋体" w:hAnsi="宋体" w:cs="宋体" w:hint="eastAsia"/>
          <w:szCs w:val="21"/>
        </w:rPr>
        <w:t>根据上述技术、商务及价格综合评价的权重分配计算进入详细评审的各投标人的综合得分，并按得分从高到低排名。综合得分相同的优先排列顺序如下 ：1）投标报价低者；2) 技术得分高者 。综合得分最高的投标人为第一中标候选供应商，综合得分次高的投标人为第二中标候选供应商。</w:t>
      </w:r>
    </w:p>
    <w:p w:rsidR="004B3CC1" w:rsidRDefault="00DB2F50">
      <w:pPr>
        <w:tabs>
          <w:tab w:val="left" w:pos="3210"/>
        </w:tabs>
        <w:spacing w:line="360" w:lineRule="auto"/>
        <w:ind w:firstLineChars="200" w:firstLine="420"/>
        <w:rPr>
          <w:rFonts w:ascii="宋体" w:hAnsi="宋体" w:cs="宋体"/>
          <w:szCs w:val="21"/>
        </w:rPr>
      </w:pPr>
      <w:r>
        <w:rPr>
          <w:rFonts w:ascii="宋体" w:hAnsi="宋体" w:cs="宋体" w:hint="eastAsia"/>
          <w:szCs w:val="21"/>
        </w:rPr>
        <w:t>评标委员会将出具评标报告，并按招标文件的规定推荐二位中标候选人。</w:t>
      </w:r>
    </w:p>
    <w:p w:rsidR="00344FAD" w:rsidRDefault="00344FAD">
      <w:pPr>
        <w:tabs>
          <w:tab w:val="left" w:pos="3210"/>
        </w:tabs>
        <w:spacing w:line="360" w:lineRule="auto"/>
        <w:ind w:firstLineChars="200" w:firstLine="420"/>
        <w:rPr>
          <w:rFonts w:ascii="宋体" w:hAnsi="宋体" w:cs="宋体" w:hint="eastAsia"/>
          <w:szCs w:val="21"/>
        </w:rPr>
      </w:pPr>
      <w:bookmarkStart w:id="1" w:name="_GoBack"/>
      <w:bookmarkEnd w:id="1"/>
    </w:p>
    <w:p w:rsidR="004B3CC1" w:rsidRDefault="00DB2F50">
      <w:pPr>
        <w:spacing w:line="360" w:lineRule="auto"/>
        <w:ind w:firstLineChars="49" w:firstLine="103"/>
        <w:rPr>
          <w:rFonts w:hAnsi="宋体" w:cs="宋体"/>
          <w:b/>
          <w:bCs/>
          <w:szCs w:val="21"/>
        </w:rPr>
      </w:pPr>
      <w:r>
        <w:rPr>
          <w:rFonts w:hAnsi="宋体" w:cs="宋体" w:hint="eastAsia"/>
          <w:b/>
          <w:bCs/>
          <w:szCs w:val="21"/>
        </w:rPr>
        <w:t>评标标准</w:t>
      </w:r>
    </w:p>
    <w:p w:rsidR="004B3CC1" w:rsidRDefault="00DB2F50">
      <w:pPr>
        <w:spacing w:line="360" w:lineRule="auto"/>
        <w:rPr>
          <w:rFonts w:ascii="宋体" w:hAnsi="宋体" w:cs="宋体"/>
          <w:b/>
          <w:bCs/>
        </w:rPr>
      </w:pPr>
      <w:r>
        <w:rPr>
          <w:rFonts w:ascii="宋体" w:hAnsi="宋体" w:cs="宋体" w:hint="eastAsia"/>
          <w:b/>
          <w:bCs/>
        </w:rPr>
        <w:t>（1)技术评分：40分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329"/>
        <w:gridCol w:w="689"/>
        <w:gridCol w:w="7890"/>
      </w:tblGrid>
      <w:tr w:rsidR="004B3CC1">
        <w:trPr>
          <w:trHeight w:val="628"/>
          <w:jc w:val="center"/>
        </w:trPr>
        <w:tc>
          <w:tcPr>
            <w:tcW w:w="0" w:type="auto"/>
            <w:vAlign w:val="center"/>
          </w:tcPr>
          <w:p w:rsidR="004B3CC1" w:rsidRDefault="00DB2F50">
            <w:pPr>
              <w:rPr>
                <w:rFonts w:ascii="宋体" w:hAnsi="宋体"/>
              </w:rPr>
            </w:pPr>
            <w:r>
              <w:rPr>
                <w:rFonts w:ascii="宋体" w:hAnsi="宋体" w:hint="eastAsia"/>
              </w:rPr>
              <w:t>序号</w:t>
            </w:r>
          </w:p>
        </w:tc>
        <w:tc>
          <w:tcPr>
            <w:tcW w:w="0" w:type="auto"/>
            <w:vAlign w:val="center"/>
          </w:tcPr>
          <w:p w:rsidR="004B3CC1" w:rsidRDefault="00DB2F50">
            <w:pPr>
              <w:rPr>
                <w:rFonts w:ascii="宋体" w:hAnsi="宋体"/>
              </w:rPr>
            </w:pPr>
            <w:r>
              <w:rPr>
                <w:rFonts w:ascii="宋体" w:hAnsi="宋体" w:hint="eastAsia"/>
              </w:rPr>
              <w:t>评审内容</w:t>
            </w:r>
          </w:p>
        </w:tc>
        <w:tc>
          <w:tcPr>
            <w:tcW w:w="0" w:type="auto"/>
            <w:vAlign w:val="center"/>
          </w:tcPr>
          <w:p w:rsidR="004B3CC1" w:rsidRDefault="00DB2F50">
            <w:pPr>
              <w:rPr>
                <w:rFonts w:ascii="宋体" w:hAnsi="宋体"/>
              </w:rPr>
            </w:pPr>
            <w:r>
              <w:rPr>
                <w:rFonts w:ascii="宋体" w:hAnsi="宋体" w:hint="eastAsia"/>
              </w:rPr>
              <w:t>评分权重</w:t>
            </w:r>
          </w:p>
        </w:tc>
        <w:tc>
          <w:tcPr>
            <w:tcW w:w="0" w:type="auto"/>
            <w:vAlign w:val="center"/>
          </w:tcPr>
          <w:p w:rsidR="004B3CC1" w:rsidRDefault="00DB2F50">
            <w:pPr>
              <w:rPr>
                <w:rFonts w:ascii="宋体" w:hAnsi="宋体"/>
              </w:rPr>
            </w:pPr>
            <w:r>
              <w:rPr>
                <w:rFonts w:ascii="宋体" w:hAnsi="宋体" w:hint="eastAsia"/>
              </w:rPr>
              <w:t>评分依据</w:t>
            </w:r>
          </w:p>
        </w:tc>
      </w:tr>
      <w:tr w:rsidR="004B3CC1">
        <w:trPr>
          <w:trHeight w:val="1280"/>
          <w:jc w:val="center"/>
        </w:trPr>
        <w:tc>
          <w:tcPr>
            <w:tcW w:w="512" w:type="dxa"/>
            <w:vAlign w:val="center"/>
          </w:tcPr>
          <w:p w:rsidR="004B3CC1" w:rsidRDefault="00DB2F50">
            <w:pPr>
              <w:spacing w:line="360" w:lineRule="auto"/>
              <w:ind w:left="-50" w:right="-51"/>
              <w:jc w:val="center"/>
              <w:rPr>
                <w:rFonts w:ascii="宋体" w:hAnsi="宋体"/>
              </w:rPr>
            </w:pPr>
            <w:r>
              <w:rPr>
                <w:rFonts w:ascii="宋体" w:hAnsi="宋体" w:cs="宋体" w:hint="eastAsia"/>
              </w:rPr>
              <w:t>1</w:t>
            </w:r>
          </w:p>
        </w:tc>
        <w:tc>
          <w:tcPr>
            <w:tcW w:w="1330" w:type="dxa"/>
            <w:vAlign w:val="center"/>
          </w:tcPr>
          <w:p w:rsidR="004B3CC1" w:rsidRDefault="00DB2F50">
            <w:pPr>
              <w:rPr>
                <w:rFonts w:ascii="宋体" w:hAnsi="宋体"/>
              </w:rPr>
            </w:pPr>
            <w:r>
              <w:rPr>
                <w:rFonts w:ascii="宋体" w:hAnsi="宋体" w:hint="eastAsia"/>
              </w:rPr>
              <w:t>投标产品技术要求的响应程度</w:t>
            </w:r>
          </w:p>
        </w:tc>
        <w:tc>
          <w:tcPr>
            <w:tcW w:w="683" w:type="dxa"/>
            <w:vAlign w:val="center"/>
          </w:tcPr>
          <w:p w:rsidR="004B3CC1" w:rsidRDefault="00DB2F50">
            <w:pPr>
              <w:spacing w:line="360" w:lineRule="auto"/>
              <w:jc w:val="center"/>
              <w:rPr>
                <w:rFonts w:ascii="宋体" w:hAnsi="宋体"/>
              </w:rPr>
            </w:pPr>
            <w:r>
              <w:rPr>
                <w:rFonts w:ascii="宋体" w:hAnsi="宋体" w:cs="宋体"/>
              </w:rPr>
              <w:t>30</w:t>
            </w:r>
            <w:r>
              <w:rPr>
                <w:rFonts w:ascii="宋体" w:hAnsi="宋体" w:cs="宋体" w:hint="eastAsia"/>
              </w:rPr>
              <w:t>分</w:t>
            </w:r>
          </w:p>
        </w:tc>
        <w:tc>
          <w:tcPr>
            <w:tcW w:w="7895" w:type="dxa"/>
            <w:vAlign w:val="center"/>
          </w:tcPr>
          <w:p w:rsidR="004B3CC1" w:rsidRDefault="00DB2F50">
            <w:pPr>
              <w:rPr>
                <w:rFonts w:ascii="宋体" w:hAnsi="宋体"/>
              </w:rPr>
            </w:pPr>
            <w:r>
              <w:rPr>
                <w:rFonts w:ascii="宋体" w:hAnsi="宋体" w:hint="eastAsia"/>
              </w:rPr>
              <w:t>满足需求书“二、采购项目技术规格、参数及数量要求：”中的全部要求得满分，不满足一项将导致扣2分，扣完为止。</w:t>
            </w:r>
          </w:p>
        </w:tc>
      </w:tr>
      <w:tr w:rsidR="004B3CC1">
        <w:trPr>
          <w:trHeight w:val="1361"/>
          <w:jc w:val="center"/>
        </w:trPr>
        <w:tc>
          <w:tcPr>
            <w:tcW w:w="512" w:type="dxa"/>
            <w:vAlign w:val="center"/>
          </w:tcPr>
          <w:p w:rsidR="004B3CC1" w:rsidRDefault="00DB2F50">
            <w:pPr>
              <w:spacing w:line="360" w:lineRule="auto"/>
              <w:ind w:left="-50" w:right="-51"/>
              <w:jc w:val="center"/>
              <w:rPr>
                <w:rFonts w:ascii="宋体" w:hAnsi="宋体"/>
              </w:rPr>
            </w:pPr>
            <w:r>
              <w:rPr>
                <w:rFonts w:ascii="宋体" w:hAnsi="宋体" w:cs="宋体" w:hint="eastAsia"/>
              </w:rPr>
              <w:t>2</w:t>
            </w:r>
          </w:p>
        </w:tc>
        <w:tc>
          <w:tcPr>
            <w:tcW w:w="1330" w:type="dxa"/>
            <w:vAlign w:val="center"/>
          </w:tcPr>
          <w:p w:rsidR="004B3CC1" w:rsidRDefault="00DB2F50">
            <w:pPr>
              <w:rPr>
                <w:rFonts w:ascii="宋体" w:hAnsi="宋体"/>
              </w:rPr>
            </w:pPr>
            <w:r>
              <w:rPr>
                <w:rFonts w:ascii="宋体" w:hAnsi="宋体" w:hint="eastAsia"/>
              </w:rPr>
              <w:t>产品实物演示的响应程度</w:t>
            </w:r>
          </w:p>
        </w:tc>
        <w:tc>
          <w:tcPr>
            <w:tcW w:w="683" w:type="dxa"/>
            <w:vAlign w:val="center"/>
          </w:tcPr>
          <w:p w:rsidR="004B3CC1" w:rsidRDefault="00DB2F50">
            <w:pPr>
              <w:spacing w:line="360" w:lineRule="auto"/>
              <w:jc w:val="center"/>
              <w:rPr>
                <w:rFonts w:ascii="宋体" w:hAnsi="宋体"/>
              </w:rPr>
            </w:pPr>
            <w:r>
              <w:rPr>
                <w:rFonts w:ascii="宋体" w:hAnsi="宋体" w:cs="宋体" w:hint="eastAsia"/>
              </w:rPr>
              <w:t>10分</w:t>
            </w:r>
          </w:p>
        </w:tc>
        <w:tc>
          <w:tcPr>
            <w:tcW w:w="7895" w:type="dxa"/>
            <w:vAlign w:val="center"/>
          </w:tcPr>
          <w:p w:rsidR="004B3CC1" w:rsidRDefault="00DB2F50">
            <w:pPr>
              <w:rPr>
                <w:rFonts w:ascii="宋体" w:hAnsi="宋体"/>
              </w:rPr>
            </w:pPr>
            <w:r>
              <w:rPr>
                <w:rFonts w:ascii="宋体" w:hAnsi="宋体" w:hint="eastAsia"/>
              </w:rPr>
              <w:t>现场演示“比亚迪E5/纯电动汽车动力驱动与控制一体化教学实训系统”产品中的下列7项功能，完全满足得10分，每有一项功能不满足或未演示扣2分，扣完为止。</w:t>
            </w:r>
          </w:p>
          <w:p w:rsidR="004B3CC1" w:rsidRDefault="00DB2F50">
            <w:pPr>
              <w:rPr>
                <w:rFonts w:ascii="宋体" w:hAnsi="宋体" w:cs="宋体"/>
                <w:b/>
                <w:sz w:val="20"/>
                <w:szCs w:val="20"/>
              </w:rPr>
            </w:pPr>
            <w:r>
              <w:rPr>
                <w:rFonts w:ascii="宋体" w:hAnsi="宋体" w:cs="宋体" w:hint="eastAsia"/>
                <w:sz w:val="20"/>
                <w:szCs w:val="20"/>
              </w:rPr>
              <w:t>1.中位机可独立产生WIFI热点（不需要路由器），手机或平板电脑连接热点后，可发送故障设置数据到下位机；</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2.间歇故障时间设置功能：间歇断路功能可模拟线束连接器处于接触不良的状态,每一路均可独立设置其间歇通/断时间，时间范围为0.1~25S（设定的时间小数点为1位）；</w:t>
            </w:r>
            <w:r>
              <w:rPr>
                <w:rFonts w:ascii="宋体" w:hAnsi="宋体" w:cs="宋体"/>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3.多样式连接方式：除使用WIFI连接外,也可通过USB口连接到PC电脑（不需使用WIFI时），此时通过USB口直接发送故障设置数据，更方便快捷；</w:t>
            </w:r>
            <w:r>
              <w:rPr>
                <w:rFonts w:ascii="宋体" w:hAnsi="宋体" w:cs="宋体"/>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4.故障设置显示功能：设备部件线路处于直通状态时，下位机相对应线路的显示灯为绿色常亮状态；虚接状态时，下位机相对应线路的显示灯为红色常亮状态；断路状态时，下位机相对应线路的显示灯为熄灭状态；间歇性故障状态时，下位机相对应线路的显示灯为绿色闪烁状态；</w:t>
            </w:r>
            <w:r>
              <w:rPr>
                <w:rFonts w:ascii="宋体" w:hAnsi="宋体" w:cs="宋体"/>
                <w:sz w:val="20"/>
                <w:szCs w:val="20"/>
              </w:rPr>
              <w:t xml:space="preserve"> </w:t>
            </w:r>
          </w:p>
          <w:p w:rsidR="004B3CC1" w:rsidRDefault="00DB2F50">
            <w:pPr>
              <w:rPr>
                <w:rFonts w:ascii="宋体" w:hAnsi="宋体" w:cs="宋体"/>
                <w:b/>
                <w:sz w:val="20"/>
                <w:szCs w:val="20"/>
              </w:rPr>
            </w:pPr>
            <w:r>
              <w:rPr>
                <w:rFonts w:ascii="宋体" w:hAnsi="宋体" w:cs="宋体" w:hint="eastAsia"/>
                <w:sz w:val="20"/>
                <w:szCs w:val="20"/>
              </w:rPr>
              <w:t>5.一键或手动清除功能：具有一键清除或手动清除已设故障内容；</w:t>
            </w:r>
            <w:r>
              <w:rPr>
                <w:rFonts w:ascii="宋体" w:hAnsi="宋体" w:cs="宋体" w:hint="eastAsia"/>
                <w:b/>
                <w:sz w:val="20"/>
                <w:szCs w:val="20"/>
              </w:rPr>
              <w:t xml:space="preserve"> </w:t>
            </w:r>
          </w:p>
          <w:p w:rsidR="004B3CC1" w:rsidRDefault="00DB2F50">
            <w:pPr>
              <w:widowControl/>
              <w:jc w:val="left"/>
              <w:textAlignment w:val="center"/>
              <w:rPr>
                <w:rFonts w:ascii="宋体" w:hAnsi="宋体" w:cs="宋体"/>
                <w:sz w:val="20"/>
                <w:szCs w:val="20"/>
              </w:rPr>
            </w:pPr>
            <w:r>
              <w:rPr>
                <w:rFonts w:ascii="宋体" w:hAnsi="宋体" w:cs="宋体" w:hint="eastAsia"/>
                <w:sz w:val="20"/>
                <w:szCs w:val="20"/>
              </w:rPr>
              <w:t>6.可设置的故障列表名称≥50个，支持故障名称个性化修改并同步功能：可对故障列表名称进行个性化定义修改，通过无线方式导入及导出故障信号列表，可在多个上位机软件运行终端间实现同步数据，因此不再需要手动配置各平板或手机等使用终端上位机软件中台架设备的信号列表；</w:t>
            </w:r>
          </w:p>
          <w:p w:rsidR="004B3CC1" w:rsidRDefault="00DB2F50">
            <w:pPr>
              <w:rPr>
                <w:rFonts w:ascii="宋体" w:hAnsi="宋体" w:cs="宋体"/>
                <w:b/>
                <w:sz w:val="20"/>
                <w:szCs w:val="20"/>
              </w:rPr>
            </w:pPr>
            <w:r>
              <w:rPr>
                <w:rFonts w:ascii="宋体" w:hAnsi="宋体" w:cs="宋体" w:hint="eastAsia"/>
                <w:sz w:val="20"/>
                <w:szCs w:val="20"/>
              </w:rPr>
              <w:t>7.断电恢复功能：下位机断电后重新上电，自动恢复上次故障设置内容。</w:t>
            </w:r>
          </w:p>
          <w:p w:rsidR="004B3CC1" w:rsidRDefault="004B3CC1">
            <w:pPr>
              <w:rPr>
                <w:rFonts w:ascii="宋体" w:hAnsi="宋体"/>
              </w:rPr>
            </w:pPr>
          </w:p>
        </w:tc>
      </w:tr>
      <w:tr w:rsidR="004B3CC1">
        <w:trPr>
          <w:trHeight w:val="626"/>
          <w:jc w:val="center"/>
        </w:trPr>
        <w:tc>
          <w:tcPr>
            <w:tcW w:w="512" w:type="dxa"/>
            <w:vAlign w:val="center"/>
          </w:tcPr>
          <w:p w:rsidR="004B3CC1" w:rsidRDefault="004B3CC1">
            <w:pPr>
              <w:rPr>
                <w:rFonts w:ascii="宋体" w:hAnsi="宋体"/>
              </w:rPr>
            </w:pPr>
          </w:p>
        </w:tc>
        <w:tc>
          <w:tcPr>
            <w:tcW w:w="1330" w:type="dxa"/>
            <w:vAlign w:val="center"/>
          </w:tcPr>
          <w:p w:rsidR="004B3CC1" w:rsidRDefault="00DB2F50">
            <w:pPr>
              <w:rPr>
                <w:rFonts w:ascii="宋体" w:hAnsi="宋体"/>
              </w:rPr>
            </w:pPr>
            <w:r>
              <w:rPr>
                <w:rFonts w:ascii="宋体" w:hAnsi="宋体" w:hint="eastAsia"/>
              </w:rPr>
              <w:t>合计</w:t>
            </w:r>
          </w:p>
        </w:tc>
        <w:tc>
          <w:tcPr>
            <w:tcW w:w="0" w:type="auto"/>
            <w:vAlign w:val="center"/>
          </w:tcPr>
          <w:p w:rsidR="004B3CC1" w:rsidRDefault="002F4B81">
            <w:pPr>
              <w:rPr>
                <w:rFonts w:ascii="宋体" w:hAnsi="宋体"/>
              </w:rPr>
            </w:pPr>
            <w:r>
              <w:rPr>
                <w:rFonts w:ascii="宋体" w:hAnsi="宋体" w:hint="eastAsia"/>
              </w:rPr>
              <w:t>4</w:t>
            </w:r>
            <w:r w:rsidR="00DB2F50">
              <w:rPr>
                <w:rFonts w:ascii="宋体" w:hAnsi="宋体" w:hint="eastAsia"/>
              </w:rPr>
              <w:t>0分</w:t>
            </w:r>
          </w:p>
        </w:tc>
        <w:tc>
          <w:tcPr>
            <w:tcW w:w="0" w:type="auto"/>
            <w:vAlign w:val="center"/>
          </w:tcPr>
          <w:p w:rsidR="004B3CC1" w:rsidRDefault="004B3CC1">
            <w:pPr>
              <w:rPr>
                <w:rFonts w:ascii="宋体" w:hAnsi="宋体"/>
              </w:rPr>
            </w:pPr>
          </w:p>
        </w:tc>
      </w:tr>
    </w:tbl>
    <w:p w:rsidR="004B3CC1" w:rsidRDefault="00DB2F50">
      <w:pPr>
        <w:tabs>
          <w:tab w:val="left" w:pos="3210"/>
        </w:tabs>
        <w:spacing w:line="360" w:lineRule="auto"/>
        <w:rPr>
          <w:rFonts w:ascii="宋体" w:hAnsi="宋体" w:cs="宋体"/>
          <w:b/>
          <w:szCs w:val="44"/>
        </w:rPr>
      </w:pPr>
      <w:r>
        <w:rPr>
          <w:rFonts w:ascii="宋体" w:hAnsi="宋体" w:cs="宋体" w:hint="eastAsia"/>
          <w:b/>
          <w:bCs/>
        </w:rPr>
        <w:t>（2）商务评分：20分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924"/>
        <w:gridCol w:w="835"/>
        <w:gridCol w:w="8135"/>
      </w:tblGrid>
      <w:tr w:rsidR="004B3CC1">
        <w:trPr>
          <w:trHeight w:val="628"/>
          <w:jc w:val="center"/>
        </w:trPr>
        <w:tc>
          <w:tcPr>
            <w:tcW w:w="0" w:type="auto"/>
            <w:vAlign w:val="center"/>
          </w:tcPr>
          <w:p w:rsidR="004B3CC1" w:rsidRDefault="00DB2F50">
            <w:pPr>
              <w:rPr>
                <w:rFonts w:ascii="宋体" w:hAnsi="宋体"/>
              </w:rPr>
            </w:pPr>
            <w:r>
              <w:rPr>
                <w:rFonts w:ascii="宋体" w:hAnsi="宋体" w:hint="eastAsia"/>
              </w:rPr>
              <w:t>序号</w:t>
            </w:r>
          </w:p>
        </w:tc>
        <w:tc>
          <w:tcPr>
            <w:tcW w:w="0" w:type="auto"/>
            <w:vAlign w:val="center"/>
          </w:tcPr>
          <w:p w:rsidR="004B3CC1" w:rsidRDefault="00DB2F50">
            <w:pPr>
              <w:rPr>
                <w:rFonts w:ascii="宋体" w:hAnsi="宋体"/>
              </w:rPr>
            </w:pPr>
            <w:r>
              <w:rPr>
                <w:rFonts w:ascii="宋体" w:hAnsi="宋体" w:hint="eastAsia"/>
              </w:rPr>
              <w:t>评审内容</w:t>
            </w:r>
          </w:p>
        </w:tc>
        <w:tc>
          <w:tcPr>
            <w:tcW w:w="0" w:type="auto"/>
            <w:vAlign w:val="center"/>
          </w:tcPr>
          <w:p w:rsidR="004B3CC1" w:rsidRDefault="00DB2F50">
            <w:pPr>
              <w:rPr>
                <w:rFonts w:ascii="宋体" w:hAnsi="宋体"/>
              </w:rPr>
            </w:pPr>
            <w:r>
              <w:rPr>
                <w:rFonts w:ascii="宋体" w:hAnsi="宋体" w:hint="eastAsia"/>
              </w:rPr>
              <w:t>评分权重</w:t>
            </w:r>
          </w:p>
        </w:tc>
        <w:tc>
          <w:tcPr>
            <w:tcW w:w="0" w:type="auto"/>
            <w:vAlign w:val="center"/>
          </w:tcPr>
          <w:p w:rsidR="004B3CC1" w:rsidRDefault="00DB2F50">
            <w:pPr>
              <w:rPr>
                <w:rFonts w:ascii="宋体" w:hAnsi="宋体"/>
              </w:rPr>
            </w:pPr>
            <w:r>
              <w:rPr>
                <w:rFonts w:ascii="宋体" w:hAnsi="宋体" w:hint="eastAsia"/>
              </w:rPr>
              <w:t>评分依据</w:t>
            </w:r>
          </w:p>
        </w:tc>
      </w:tr>
      <w:tr w:rsidR="004B3CC1">
        <w:trPr>
          <w:trHeight w:val="1361"/>
          <w:jc w:val="center"/>
        </w:trPr>
        <w:tc>
          <w:tcPr>
            <w:tcW w:w="0" w:type="auto"/>
            <w:vAlign w:val="center"/>
          </w:tcPr>
          <w:p w:rsidR="004B3CC1" w:rsidRDefault="00DB2F50">
            <w:pPr>
              <w:rPr>
                <w:rFonts w:ascii="宋体" w:hAnsi="宋体"/>
              </w:rPr>
            </w:pPr>
            <w:r>
              <w:rPr>
                <w:rFonts w:ascii="宋体" w:hAnsi="宋体" w:hint="eastAsia"/>
              </w:rPr>
              <w:t>1</w:t>
            </w:r>
          </w:p>
        </w:tc>
        <w:tc>
          <w:tcPr>
            <w:tcW w:w="0" w:type="auto"/>
            <w:vAlign w:val="center"/>
          </w:tcPr>
          <w:p w:rsidR="004B3CC1" w:rsidRDefault="00DB2F50">
            <w:pPr>
              <w:rPr>
                <w:rFonts w:ascii="宋体" w:hAnsi="宋体"/>
              </w:rPr>
            </w:pPr>
            <w:r>
              <w:rPr>
                <w:rFonts w:ascii="宋体" w:hAnsi="宋体" w:hint="eastAsia"/>
              </w:rPr>
              <w:t>投标人资质</w:t>
            </w:r>
          </w:p>
        </w:tc>
        <w:tc>
          <w:tcPr>
            <w:tcW w:w="0" w:type="auto"/>
            <w:vAlign w:val="center"/>
          </w:tcPr>
          <w:p w:rsidR="004B3CC1" w:rsidRDefault="00DB2F50">
            <w:pPr>
              <w:rPr>
                <w:rFonts w:ascii="宋体" w:hAnsi="宋体"/>
              </w:rPr>
            </w:pPr>
            <w:r>
              <w:rPr>
                <w:rFonts w:ascii="宋体" w:hAnsi="宋体" w:hint="eastAsia"/>
              </w:rPr>
              <w:t>6分</w:t>
            </w:r>
          </w:p>
        </w:tc>
        <w:tc>
          <w:tcPr>
            <w:tcW w:w="0" w:type="auto"/>
            <w:vAlign w:val="center"/>
          </w:tcPr>
          <w:p w:rsidR="004B3CC1" w:rsidRDefault="00DB2F50">
            <w:pPr>
              <w:rPr>
                <w:rFonts w:hAnsi="宋体"/>
                <w:szCs w:val="21"/>
              </w:rPr>
            </w:pPr>
            <w:r>
              <w:rPr>
                <w:rFonts w:hAnsi="宋体" w:hint="eastAsia"/>
                <w:szCs w:val="21"/>
              </w:rPr>
              <w:t>投标人获得</w:t>
            </w:r>
            <w:r>
              <w:rPr>
                <w:rFonts w:hAnsi="宋体" w:hint="eastAsia"/>
                <w:szCs w:val="21"/>
              </w:rPr>
              <w:t>ISO9001</w:t>
            </w:r>
            <w:r>
              <w:rPr>
                <w:rFonts w:hAnsi="宋体" w:hint="eastAsia"/>
                <w:szCs w:val="21"/>
              </w:rPr>
              <w:t>质量管理体系认证、职业健康安全管理体系认证、环境管理体系认证，每提供一个得</w:t>
            </w:r>
            <w:r>
              <w:rPr>
                <w:rFonts w:hAnsi="宋体" w:hint="eastAsia"/>
                <w:szCs w:val="21"/>
              </w:rPr>
              <w:t>2</w:t>
            </w:r>
            <w:r>
              <w:rPr>
                <w:rFonts w:hAnsi="宋体" w:hint="eastAsia"/>
                <w:szCs w:val="21"/>
              </w:rPr>
              <w:t>分，本项最高</w:t>
            </w:r>
            <w:r>
              <w:rPr>
                <w:rFonts w:hAnsi="宋体" w:hint="eastAsia"/>
                <w:szCs w:val="21"/>
              </w:rPr>
              <w:t>6</w:t>
            </w:r>
            <w:r>
              <w:rPr>
                <w:rFonts w:hAnsi="宋体" w:hint="eastAsia"/>
                <w:szCs w:val="21"/>
              </w:rPr>
              <w:t>分。</w:t>
            </w:r>
          </w:p>
          <w:p w:rsidR="004B3CC1" w:rsidRDefault="00DB2F50">
            <w:pPr>
              <w:rPr>
                <w:rFonts w:ascii="宋体" w:hAnsi="宋体"/>
              </w:rPr>
            </w:pPr>
            <w:r>
              <w:rPr>
                <w:rFonts w:ascii="宋体" w:hAnsi="宋体" w:hint="eastAsia"/>
              </w:rPr>
              <w:t>备注：投标人需提供相关证书复印件，复印件内容清晰并加盖投标人公章，否则本项不得分。</w:t>
            </w:r>
          </w:p>
        </w:tc>
      </w:tr>
      <w:tr w:rsidR="004B3CC1">
        <w:trPr>
          <w:trHeight w:val="1216"/>
          <w:jc w:val="center"/>
        </w:trPr>
        <w:tc>
          <w:tcPr>
            <w:tcW w:w="0" w:type="auto"/>
            <w:vAlign w:val="center"/>
          </w:tcPr>
          <w:p w:rsidR="004B3CC1" w:rsidRDefault="00DB2F50">
            <w:pPr>
              <w:rPr>
                <w:rFonts w:ascii="宋体" w:hAnsi="宋体"/>
              </w:rPr>
            </w:pPr>
            <w:r>
              <w:rPr>
                <w:rFonts w:ascii="宋体" w:hAnsi="宋体" w:hint="eastAsia"/>
              </w:rPr>
              <w:t>2</w:t>
            </w:r>
          </w:p>
        </w:tc>
        <w:tc>
          <w:tcPr>
            <w:tcW w:w="0" w:type="auto"/>
            <w:vAlign w:val="center"/>
          </w:tcPr>
          <w:p w:rsidR="004B3CC1" w:rsidRDefault="00DB2F50">
            <w:pPr>
              <w:rPr>
                <w:rFonts w:ascii="宋体" w:hAnsi="宋体"/>
              </w:rPr>
            </w:pPr>
            <w:r>
              <w:rPr>
                <w:rFonts w:ascii="宋体" w:hAnsi="宋体" w:hint="eastAsia"/>
              </w:rPr>
              <w:t>投标人业绩</w:t>
            </w:r>
          </w:p>
          <w:p w:rsidR="004B3CC1" w:rsidRDefault="00DB2F50">
            <w:pPr>
              <w:rPr>
                <w:rFonts w:ascii="宋体" w:hAnsi="宋体"/>
              </w:rPr>
            </w:pPr>
            <w:r>
              <w:rPr>
                <w:rFonts w:ascii="宋体" w:hAnsi="宋体" w:hint="eastAsia"/>
              </w:rPr>
              <w:t>案例</w:t>
            </w:r>
          </w:p>
        </w:tc>
        <w:tc>
          <w:tcPr>
            <w:tcW w:w="0" w:type="auto"/>
            <w:vAlign w:val="center"/>
          </w:tcPr>
          <w:p w:rsidR="004B3CC1" w:rsidRDefault="00DB2F50">
            <w:pPr>
              <w:rPr>
                <w:rFonts w:ascii="宋体" w:hAnsi="宋体"/>
              </w:rPr>
            </w:pPr>
            <w:r>
              <w:rPr>
                <w:rFonts w:ascii="宋体" w:hAnsi="宋体"/>
              </w:rPr>
              <w:t>6</w:t>
            </w:r>
            <w:r>
              <w:rPr>
                <w:rFonts w:ascii="宋体" w:hAnsi="宋体" w:hint="eastAsia"/>
              </w:rPr>
              <w:t>分</w:t>
            </w:r>
          </w:p>
        </w:tc>
        <w:tc>
          <w:tcPr>
            <w:tcW w:w="0" w:type="auto"/>
            <w:vAlign w:val="center"/>
          </w:tcPr>
          <w:p w:rsidR="004B3CC1" w:rsidRDefault="00DB2F50">
            <w:pPr>
              <w:rPr>
                <w:rFonts w:ascii="宋体" w:hAnsi="宋体"/>
              </w:rPr>
            </w:pPr>
            <w:r>
              <w:rPr>
                <w:rFonts w:ascii="宋体" w:hAnsi="宋体" w:hint="eastAsia"/>
              </w:rPr>
              <w:t>1.投标人提供2016年至今同类或相关业绩案例，每提供一个得1分，最多得</w:t>
            </w:r>
            <w:r>
              <w:rPr>
                <w:rFonts w:ascii="宋体" w:hAnsi="宋体"/>
              </w:rPr>
              <w:t>6</w:t>
            </w:r>
            <w:r>
              <w:rPr>
                <w:rFonts w:ascii="宋体" w:hAnsi="宋体" w:hint="eastAsia"/>
              </w:rPr>
              <w:t>分； </w:t>
            </w:r>
          </w:p>
          <w:p w:rsidR="004B3CC1" w:rsidRDefault="00DB2F50">
            <w:pPr>
              <w:rPr>
                <w:rFonts w:ascii="宋体" w:hAnsi="宋体"/>
              </w:rPr>
            </w:pPr>
            <w:r>
              <w:rPr>
                <w:rFonts w:ascii="宋体" w:hAnsi="宋体" w:hint="eastAsia"/>
              </w:rPr>
              <w:t>备注：投标人需提供可以证明其真实业绩的中标通知书、项目合同复印件，复印件内容清晰并加盖投标人公章，否则不得分。</w:t>
            </w:r>
          </w:p>
        </w:tc>
      </w:tr>
      <w:tr w:rsidR="004B3CC1">
        <w:trPr>
          <w:trHeight w:val="1361"/>
          <w:jc w:val="center"/>
        </w:trPr>
        <w:tc>
          <w:tcPr>
            <w:tcW w:w="0" w:type="auto"/>
            <w:vAlign w:val="center"/>
          </w:tcPr>
          <w:p w:rsidR="004B3CC1" w:rsidRDefault="00DB2F50">
            <w:pPr>
              <w:rPr>
                <w:rFonts w:ascii="宋体" w:hAnsi="宋体"/>
              </w:rPr>
            </w:pPr>
            <w:r>
              <w:rPr>
                <w:rFonts w:ascii="宋体" w:hAnsi="宋体" w:hint="eastAsia"/>
              </w:rPr>
              <w:t>4</w:t>
            </w:r>
          </w:p>
        </w:tc>
        <w:tc>
          <w:tcPr>
            <w:tcW w:w="0" w:type="auto"/>
            <w:vAlign w:val="center"/>
          </w:tcPr>
          <w:p w:rsidR="004B3CC1" w:rsidRDefault="00DB2F50">
            <w:pPr>
              <w:rPr>
                <w:rFonts w:ascii="宋体" w:hAnsi="宋体"/>
              </w:rPr>
            </w:pPr>
            <w:r>
              <w:rPr>
                <w:rFonts w:ascii="Arial" w:hAnsi="Arial" w:cs="Arial"/>
                <w:szCs w:val="21"/>
              </w:rPr>
              <w:t>商务响应</w:t>
            </w:r>
          </w:p>
        </w:tc>
        <w:tc>
          <w:tcPr>
            <w:tcW w:w="0" w:type="auto"/>
            <w:vAlign w:val="center"/>
          </w:tcPr>
          <w:p w:rsidR="004B3CC1" w:rsidRDefault="00DB2F50">
            <w:pPr>
              <w:rPr>
                <w:rFonts w:ascii="宋体" w:hAnsi="宋体"/>
              </w:rPr>
            </w:pPr>
            <w:r>
              <w:rPr>
                <w:rFonts w:ascii="宋体" w:hAnsi="宋体"/>
              </w:rPr>
              <w:t>8</w:t>
            </w:r>
            <w:r>
              <w:rPr>
                <w:rFonts w:ascii="宋体" w:hAnsi="宋体" w:hint="eastAsia"/>
              </w:rPr>
              <w:t>分</w:t>
            </w:r>
          </w:p>
        </w:tc>
        <w:tc>
          <w:tcPr>
            <w:tcW w:w="0" w:type="auto"/>
            <w:vAlign w:val="center"/>
          </w:tcPr>
          <w:p w:rsidR="004B3CC1" w:rsidRDefault="00DB2F50">
            <w:pPr>
              <w:rPr>
                <w:rFonts w:ascii="宋体" w:hAnsi="宋体"/>
              </w:rPr>
            </w:pPr>
            <w:r>
              <w:rPr>
                <w:rFonts w:ascii="Arial" w:hAnsi="Arial" w:cs="Arial"/>
                <w:szCs w:val="21"/>
              </w:rPr>
              <w:t>完全满足采购项目商务要求的得满分，每项负偏离扣</w:t>
            </w:r>
            <w:r>
              <w:rPr>
                <w:rFonts w:ascii="Arial" w:hAnsi="Arial" w:cs="Arial" w:hint="eastAsia"/>
                <w:szCs w:val="21"/>
              </w:rPr>
              <w:t>2</w:t>
            </w:r>
            <w:r>
              <w:rPr>
                <w:rFonts w:ascii="Arial" w:hAnsi="Arial" w:cs="Arial"/>
                <w:szCs w:val="21"/>
              </w:rPr>
              <w:t>分，扣完为止。</w:t>
            </w:r>
          </w:p>
        </w:tc>
      </w:tr>
      <w:tr w:rsidR="004B3CC1">
        <w:trPr>
          <w:trHeight w:val="626"/>
          <w:jc w:val="center"/>
        </w:trPr>
        <w:tc>
          <w:tcPr>
            <w:tcW w:w="526" w:type="dxa"/>
            <w:vAlign w:val="center"/>
          </w:tcPr>
          <w:p w:rsidR="004B3CC1" w:rsidRDefault="004B3CC1">
            <w:pPr>
              <w:rPr>
                <w:rFonts w:ascii="宋体" w:hAnsi="宋体"/>
              </w:rPr>
            </w:pPr>
          </w:p>
        </w:tc>
        <w:tc>
          <w:tcPr>
            <w:tcW w:w="924" w:type="dxa"/>
            <w:vAlign w:val="center"/>
          </w:tcPr>
          <w:p w:rsidR="004B3CC1" w:rsidRDefault="00DB2F50">
            <w:pPr>
              <w:rPr>
                <w:rFonts w:ascii="宋体" w:hAnsi="宋体"/>
              </w:rPr>
            </w:pPr>
            <w:r>
              <w:rPr>
                <w:rFonts w:ascii="宋体" w:hAnsi="宋体" w:hint="eastAsia"/>
              </w:rPr>
              <w:t>合计</w:t>
            </w:r>
          </w:p>
        </w:tc>
        <w:tc>
          <w:tcPr>
            <w:tcW w:w="0" w:type="auto"/>
            <w:vAlign w:val="center"/>
          </w:tcPr>
          <w:p w:rsidR="004B3CC1" w:rsidRDefault="00DB2F50">
            <w:pPr>
              <w:rPr>
                <w:rFonts w:ascii="宋体" w:hAnsi="宋体"/>
              </w:rPr>
            </w:pPr>
            <w:r>
              <w:rPr>
                <w:rFonts w:ascii="宋体" w:hAnsi="宋体" w:hint="eastAsia"/>
              </w:rPr>
              <w:t>20分</w:t>
            </w:r>
          </w:p>
        </w:tc>
        <w:tc>
          <w:tcPr>
            <w:tcW w:w="0" w:type="auto"/>
            <w:vAlign w:val="center"/>
          </w:tcPr>
          <w:p w:rsidR="004B3CC1" w:rsidRDefault="004B3CC1">
            <w:pPr>
              <w:rPr>
                <w:rFonts w:ascii="宋体" w:hAnsi="宋体"/>
              </w:rPr>
            </w:pPr>
          </w:p>
        </w:tc>
      </w:tr>
    </w:tbl>
    <w:p w:rsidR="004B3CC1" w:rsidRDefault="00DB2F50">
      <w:pPr>
        <w:spacing w:beforeLines="50" w:before="156" w:afterLines="50" w:after="156"/>
        <w:rPr>
          <w:rFonts w:hAnsi="宋体"/>
          <w:szCs w:val="21"/>
        </w:rPr>
      </w:pPr>
      <w:r>
        <w:rPr>
          <w:rFonts w:hAnsi="宋体" w:hint="eastAsia"/>
          <w:szCs w:val="21"/>
        </w:rPr>
        <w:t xml:space="preserve">  </w:t>
      </w:r>
      <w:r>
        <w:rPr>
          <w:rFonts w:hAnsi="宋体"/>
          <w:szCs w:val="21"/>
        </w:rPr>
        <w:t>评标委员会将依据招标文件</w:t>
      </w:r>
      <w:r>
        <w:rPr>
          <w:rFonts w:hAnsi="宋体" w:hint="eastAsia"/>
          <w:szCs w:val="21"/>
        </w:rPr>
        <w:t>的</w:t>
      </w:r>
      <w:r>
        <w:rPr>
          <w:rFonts w:hAnsi="宋体"/>
          <w:szCs w:val="21"/>
        </w:rPr>
        <w:t>“采购项目技术规格、参数及要求”逐条进行评审</w:t>
      </w:r>
      <w:r>
        <w:rPr>
          <w:rFonts w:hAnsi="宋体" w:hint="eastAsia"/>
          <w:szCs w:val="21"/>
        </w:rPr>
        <w:t>。</w:t>
      </w:r>
    </w:p>
    <w:p w:rsidR="004B3CC1" w:rsidRDefault="00DB2F50">
      <w:pPr>
        <w:tabs>
          <w:tab w:val="left" w:pos="3210"/>
        </w:tabs>
        <w:spacing w:line="360" w:lineRule="auto"/>
        <w:rPr>
          <w:rFonts w:ascii="宋体" w:hAnsi="宋体" w:cs="宋体"/>
          <w:b/>
          <w:bCs/>
        </w:rPr>
      </w:pPr>
      <w:r>
        <w:rPr>
          <w:rFonts w:ascii="宋体" w:hAnsi="宋体" w:cs="宋体" w:hint="eastAsia"/>
          <w:b/>
          <w:bCs/>
        </w:rPr>
        <w:t>（3)</w:t>
      </w:r>
      <w:r>
        <w:rPr>
          <w:rFonts w:ascii="宋体" w:hAnsi="宋体" w:cs="宋体"/>
          <w:b/>
          <w:bCs/>
        </w:rPr>
        <w:t>价格</w:t>
      </w:r>
      <w:r>
        <w:rPr>
          <w:rFonts w:ascii="宋体" w:hAnsi="宋体" w:cs="宋体" w:hint="eastAsia"/>
          <w:b/>
          <w:bCs/>
        </w:rPr>
        <w:t>评分：</w:t>
      </w:r>
      <w:r>
        <w:rPr>
          <w:rFonts w:ascii="宋体" w:hAnsi="宋体" w:cs="宋体"/>
          <w:b/>
          <w:bCs/>
        </w:rPr>
        <w:t>4</w:t>
      </w:r>
      <w:r>
        <w:rPr>
          <w:rFonts w:ascii="宋体" w:hAnsi="宋体" w:cs="宋体" w:hint="eastAsia"/>
          <w:b/>
          <w:bCs/>
        </w:rPr>
        <w:t>0分</w:t>
      </w:r>
    </w:p>
    <w:p w:rsidR="004B3CC1" w:rsidRDefault="00DB2F50">
      <w:pPr>
        <w:tabs>
          <w:tab w:val="left" w:pos="3210"/>
        </w:tabs>
        <w:spacing w:line="360" w:lineRule="auto"/>
        <w:ind w:firstLineChars="200" w:firstLine="420"/>
        <w:rPr>
          <w:rFonts w:ascii="宋体" w:hAnsi="宋体" w:cs="宋体"/>
          <w:szCs w:val="21"/>
        </w:rPr>
      </w:pPr>
      <w:r>
        <w:rPr>
          <w:rFonts w:ascii="宋体" w:hAnsi="宋体" w:cs="宋体" w:hint="eastAsia"/>
          <w:szCs w:val="21"/>
        </w:rPr>
        <w:t>价格评分：各有效报价供应商的评标价中，取最低者作为基准价，各有效报价供应商的价格评分统一按照下列公式计算：价格评分＝（基准价÷评标价）×40。</w:t>
      </w:r>
    </w:p>
    <w:p w:rsidR="004B3CC1" w:rsidRDefault="004B3CC1">
      <w:pPr>
        <w:tabs>
          <w:tab w:val="left" w:pos="3210"/>
        </w:tabs>
        <w:spacing w:line="360" w:lineRule="auto"/>
        <w:jc w:val="left"/>
        <w:rPr>
          <w:rFonts w:ascii="宋体" w:hAnsi="宋体" w:cs="宋体"/>
          <w:b/>
          <w:bCs/>
          <w:szCs w:val="21"/>
        </w:rPr>
      </w:pPr>
    </w:p>
    <w:p w:rsidR="004B3CC1" w:rsidRDefault="004B3CC1">
      <w:pPr>
        <w:tabs>
          <w:tab w:val="left" w:pos="3210"/>
        </w:tabs>
        <w:spacing w:line="360" w:lineRule="auto"/>
        <w:jc w:val="left"/>
        <w:rPr>
          <w:rFonts w:ascii="宋体" w:hAnsi="宋体" w:cs="宋体"/>
          <w:b/>
          <w:bCs/>
          <w:szCs w:val="21"/>
        </w:rPr>
      </w:pPr>
    </w:p>
    <w:sectPr w:rsidR="004B3CC1">
      <w:headerReference w:type="default" r:id="rId10"/>
      <w:pgSz w:w="11906" w:h="16838"/>
      <w:pgMar w:top="850" w:right="851" w:bottom="921" w:left="851" w:header="850"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0F" w:rsidRDefault="00FC0F0F">
      <w:r>
        <w:separator/>
      </w:r>
    </w:p>
  </w:endnote>
  <w:endnote w:type="continuationSeparator" w:id="0">
    <w:p w:rsidR="00FC0F0F" w:rsidRDefault="00FC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default"/>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default"/>
    <w:sig w:usb0="00000287" w:usb1="00000000" w:usb2="00000000" w:usb3="00000000" w:csb0="2000019F" w:csb1="00000000"/>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0F" w:rsidRDefault="00FC0F0F">
      <w:r>
        <w:separator/>
      </w:r>
    </w:p>
  </w:footnote>
  <w:footnote w:type="continuationSeparator" w:id="0">
    <w:p w:rsidR="00FC0F0F" w:rsidRDefault="00FC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C1" w:rsidRDefault="00DB2F50">
    <w:pPr>
      <w:pStyle w:val="ae"/>
    </w:pPr>
    <w:r>
      <w:rPr>
        <w:rFonts w:hint="eastAsia"/>
      </w:rPr>
      <w:t xml:space="preserve">                                                                  </w:t>
    </w:r>
    <w:r>
      <w:rPr>
        <w:rFonts w:hint="eastAsia"/>
        <w:sz w:val="21"/>
        <w:szCs w:val="21"/>
      </w:rPr>
      <w:t xml:space="preserve"> </w:t>
    </w:r>
    <w:r>
      <w:rPr>
        <w:rFonts w:hint="eastAsia"/>
        <w:sz w:val="21"/>
        <w:szCs w:val="21"/>
      </w:rPr>
      <w:t>第</w:t>
    </w:r>
    <w:r>
      <w:rPr>
        <w:sz w:val="21"/>
        <w:szCs w:val="21"/>
      </w:rPr>
      <w:fldChar w:fldCharType="begin"/>
    </w:r>
    <w:r>
      <w:rPr>
        <w:sz w:val="21"/>
        <w:szCs w:val="21"/>
      </w:rPr>
      <w:instrText>PAGE</w:instrText>
    </w:r>
    <w:r>
      <w:rPr>
        <w:sz w:val="21"/>
        <w:szCs w:val="21"/>
      </w:rPr>
      <w:fldChar w:fldCharType="separate"/>
    </w:r>
    <w:r w:rsidR="00FC0F0F">
      <w:rPr>
        <w:noProof/>
        <w:sz w:val="21"/>
        <w:szCs w:val="21"/>
      </w:rPr>
      <w:t>1</w:t>
    </w:r>
    <w:r>
      <w:rPr>
        <w:sz w:val="21"/>
        <w:szCs w:val="21"/>
      </w:rPr>
      <w:fldChar w:fldCharType="end"/>
    </w:r>
    <w:r>
      <w:rPr>
        <w:rFonts w:hint="eastAsia"/>
        <w:sz w:val="21"/>
        <w:szCs w:val="21"/>
      </w:rPr>
      <w:t>页</w:t>
    </w:r>
    <w:r>
      <w:rPr>
        <w:sz w:val="21"/>
        <w:szCs w:val="21"/>
      </w:rPr>
      <w:t xml:space="preserve"> </w:t>
    </w:r>
    <w:r>
      <w:rPr>
        <w:rFonts w:hint="eastAsia"/>
        <w:sz w:val="21"/>
        <w:szCs w:val="21"/>
      </w:rPr>
      <w:t>共</w:t>
    </w:r>
    <w:r>
      <w:rPr>
        <w:sz w:val="21"/>
        <w:szCs w:val="21"/>
      </w:rPr>
      <w:fldChar w:fldCharType="begin"/>
    </w:r>
    <w:r>
      <w:rPr>
        <w:sz w:val="21"/>
        <w:szCs w:val="21"/>
      </w:rPr>
      <w:instrText>NUMPAGES</w:instrText>
    </w:r>
    <w:r>
      <w:rPr>
        <w:sz w:val="21"/>
        <w:szCs w:val="21"/>
      </w:rPr>
      <w:fldChar w:fldCharType="separate"/>
    </w:r>
    <w:r w:rsidR="00FC0F0F">
      <w:rPr>
        <w:noProof/>
        <w:sz w:val="21"/>
        <w:szCs w:val="21"/>
      </w:rPr>
      <w:t>1</w:t>
    </w:r>
    <w:r>
      <w:rPr>
        <w:sz w:val="21"/>
        <w:szCs w:val="21"/>
      </w:rPr>
      <w:fldChar w:fldCharType="end"/>
    </w:r>
    <w:r>
      <w:rPr>
        <w:rFonts w:hint="eastAsia"/>
        <w:sz w:val="21"/>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CE6B2"/>
    <w:multiLevelType w:val="singleLevel"/>
    <w:tmpl w:val="534CE6B2"/>
    <w:lvl w:ilvl="0">
      <w:start w:val="2"/>
      <w:numFmt w:val="decimal"/>
      <w:suff w:val="nothing"/>
      <w:lvlText w:val="%1、"/>
      <w:lvlJc w:val="left"/>
    </w:lvl>
  </w:abstractNum>
  <w:abstractNum w:abstractNumId="1" w15:restartNumberingAfterBreak="0">
    <w:nsid w:val="53D99A93"/>
    <w:multiLevelType w:val="singleLevel"/>
    <w:tmpl w:val="53D99A93"/>
    <w:lvl w:ilvl="0">
      <w:start w:val="3"/>
      <w:numFmt w:val="decimal"/>
      <w:suff w:val="nothing"/>
      <w:lvlText w:val="%1、"/>
      <w:lvlJc w:val="left"/>
    </w:lvl>
  </w:abstractNum>
  <w:abstractNum w:abstractNumId="2" w15:restartNumberingAfterBreak="0">
    <w:nsid w:val="5E2447D9"/>
    <w:multiLevelType w:val="multilevel"/>
    <w:tmpl w:val="5E2447D9"/>
    <w:lvl w:ilvl="0">
      <w:start w:val="1"/>
      <w:numFmt w:val="decimal"/>
      <w:lvlText w:val="%1."/>
      <w:lvlJc w:val="left"/>
      <w:pPr>
        <w:tabs>
          <w:tab w:val="left" w:pos="1571"/>
        </w:tabs>
        <w:ind w:left="1571" w:hanging="851"/>
      </w:pPr>
      <w:rPr>
        <w:rFonts w:eastAsia="宋体" w:hint="eastAsia"/>
        <w:b/>
        <w:i w:val="0"/>
        <w:sz w:val="24"/>
      </w:rPr>
    </w:lvl>
    <w:lvl w:ilvl="1">
      <w:start w:val="1"/>
      <w:numFmt w:val="decimal"/>
      <w:lvlText w:val="（%2）"/>
      <w:lvlJc w:val="left"/>
      <w:pPr>
        <w:tabs>
          <w:tab w:val="left" w:pos="720"/>
        </w:tabs>
        <w:ind w:left="720" w:hanging="720"/>
      </w:pPr>
      <w:rPr>
        <w:rFonts w:hint="default"/>
        <w:b/>
        <w:i w:val="0"/>
        <w:sz w:val="24"/>
      </w:rPr>
    </w:lvl>
    <w:lvl w:ilvl="2">
      <w:start w:val="1"/>
      <w:numFmt w:val="decimal"/>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1D"/>
    <w:rsid w:val="000012C6"/>
    <w:rsid w:val="00010C1D"/>
    <w:rsid w:val="000131E1"/>
    <w:rsid w:val="00013534"/>
    <w:rsid w:val="00016B76"/>
    <w:rsid w:val="00025F02"/>
    <w:rsid w:val="000302A5"/>
    <w:rsid w:val="00032E6F"/>
    <w:rsid w:val="000353EA"/>
    <w:rsid w:val="0003560B"/>
    <w:rsid w:val="000416B3"/>
    <w:rsid w:val="00043BE7"/>
    <w:rsid w:val="00050289"/>
    <w:rsid w:val="00051BCA"/>
    <w:rsid w:val="00053F78"/>
    <w:rsid w:val="00060DE0"/>
    <w:rsid w:val="000658B1"/>
    <w:rsid w:val="00066B47"/>
    <w:rsid w:val="00071408"/>
    <w:rsid w:val="00081BAF"/>
    <w:rsid w:val="000836C8"/>
    <w:rsid w:val="0008401D"/>
    <w:rsid w:val="000871E1"/>
    <w:rsid w:val="00093081"/>
    <w:rsid w:val="000948E2"/>
    <w:rsid w:val="00096A18"/>
    <w:rsid w:val="000970E0"/>
    <w:rsid w:val="000A4310"/>
    <w:rsid w:val="000B78CE"/>
    <w:rsid w:val="000C3569"/>
    <w:rsid w:val="000D1338"/>
    <w:rsid w:val="000D240D"/>
    <w:rsid w:val="000D70E8"/>
    <w:rsid w:val="000F23C7"/>
    <w:rsid w:val="000F6D93"/>
    <w:rsid w:val="000F77DE"/>
    <w:rsid w:val="00124533"/>
    <w:rsid w:val="001250D3"/>
    <w:rsid w:val="0012627D"/>
    <w:rsid w:val="00133A93"/>
    <w:rsid w:val="001352CE"/>
    <w:rsid w:val="00136CC6"/>
    <w:rsid w:val="00137D98"/>
    <w:rsid w:val="0014584A"/>
    <w:rsid w:val="001467C0"/>
    <w:rsid w:val="00150BE8"/>
    <w:rsid w:val="001615ED"/>
    <w:rsid w:val="00173FF7"/>
    <w:rsid w:val="00180AB8"/>
    <w:rsid w:val="00184703"/>
    <w:rsid w:val="001858DC"/>
    <w:rsid w:val="00187DC2"/>
    <w:rsid w:val="00190D6A"/>
    <w:rsid w:val="001921BE"/>
    <w:rsid w:val="00192EBA"/>
    <w:rsid w:val="001A2998"/>
    <w:rsid w:val="001B0358"/>
    <w:rsid w:val="001B1FB6"/>
    <w:rsid w:val="001B29F9"/>
    <w:rsid w:val="001B567B"/>
    <w:rsid w:val="001C5263"/>
    <w:rsid w:val="001D27DE"/>
    <w:rsid w:val="001D3342"/>
    <w:rsid w:val="001D7007"/>
    <w:rsid w:val="001E3200"/>
    <w:rsid w:val="001E4ACC"/>
    <w:rsid w:val="001E706A"/>
    <w:rsid w:val="001F6BB4"/>
    <w:rsid w:val="00207FA6"/>
    <w:rsid w:val="00212417"/>
    <w:rsid w:val="00213D6D"/>
    <w:rsid w:val="00223667"/>
    <w:rsid w:val="00224B71"/>
    <w:rsid w:val="0023091E"/>
    <w:rsid w:val="00233909"/>
    <w:rsid w:val="00236A97"/>
    <w:rsid w:val="0024185D"/>
    <w:rsid w:val="002434DD"/>
    <w:rsid w:val="002526FA"/>
    <w:rsid w:val="0025433B"/>
    <w:rsid w:val="00260A2A"/>
    <w:rsid w:val="00263020"/>
    <w:rsid w:val="00274A07"/>
    <w:rsid w:val="00276586"/>
    <w:rsid w:val="0028143D"/>
    <w:rsid w:val="00282D91"/>
    <w:rsid w:val="002A6741"/>
    <w:rsid w:val="002A6DE8"/>
    <w:rsid w:val="002B4FE4"/>
    <w:rsid w:val="002B6533"/>
    <w:rsid w:val="002C1405"/>
    <w:rsid w:val="002C65E1"/>
    <w:rsid w:val="002D0C31"/>
    <w:rsid w:val="002D1429"/>
    <w:rsid w:val="002E04CF"/>
    <w:rsid w:val="002E1942"/>
    <w:rsid w:val="002E7944"/>
    <w:rsid w:val="002F4B81"/>
    <w:rsid w:val="003015B1"/>
    <w:rsid w:val="00314B67"/>
    <w:rsid w:val="00315BA4"/>
    <w:rsid w:val="00325E46"/>
    <w:rsid w:val="00335E94"/>
    <w:rsid w:val="00336188"/>
    <w:rsid w:val="003434F8"/>
    <w:rsid w:val="00344FAD"/>
    <w:rsid w:val="003455E2"/>
    <w:rsid w:val="0035107C"/>
    <w:rsid w:val="00352135"/>
    <w:rsid w:val="003564E0"/>
    <w:rsid w:val="003616A8"/>
    <w:rsid w:val="00365800"/>
    <w:rsid w:val="003671D9"/>
    <w:rsid w:val="00371A42"/>
    <w:rsid w:val="00376FCE"/>
    <w:rsid w:val="003802FD"/>
    <w:rsid w:val="00380974"/>
    <w:rsid w:val="00381852"/>
    <w:rsid w:val="00384AC1"/>
    <w:rsid w:val="003B0660"/>
    <w:rsid w:val="003B20E4"/>
    <w:rsid w:val="003B5F25"/>
    <w:rsid w:val="003C7AAF"/>
    <w:rsid w:val="003D4AF3"/>
    <w:rsid w:val="003D5291"/>
    <w:rsid w:val="003E101A"/>
    <w:rsid w:val="003F3AAC"/>
    <w:rsid w:val="004040D1"/>
    <w:rsid w:val="004075F2"/>
    <w:rsid w:val="00412202"/>
    <w:rsid w:val="00412A2C"/>
    <w:rsid w:val="004130F8"/>
    <w:rsid w:val="00415B3F"/>
    <w:rsid w:val="00427558"/>
    <w:rsid w:val="00432049"/>
    <w:rsid w:val="004324DC"/>
    <w:rsid w:val="004352B3"/>
    <w:rsid w:val="00442BBB"/>
    <w:rsid w:val="00442BD1"/>
    <w:rsid w:val="00443E60"/>
    <w:rsid w:val="0044527D"/>
    <w:rsid w:val="00445707"/>
    <w:rsid w:val="00446FEE"/>
    <w:rsid w:val="00464C7D"/>
    <w:rsid w:val="0046554B"/>
    <w:rsid w:val="004710FF"/>
    <w:rsid w:val="0047471B"/>
    <w:rsid w:val="00476934"/>
    <w:rsid w:val="004868F8"/>
    <w:rsid w:val="004873E9"/>
    <w:rsid w:val="00490973"/>
    <w:rsid w:val="00493C8D"/>
    <w:rsid w:val="00494364"/>
    <w:rsid w:val="004A0498"/>
    <w:rsid w:val="004A3B34"/>
    <w:rsid w:val="004B0E90"/>
    <w:rsid w:val="004B3CC1"/>
    <w:rsid w:val="004C4975"/>
    <w:rsid w:val="004C4C0E"/>
    <w:rsid w:val="004D0672"/>
    <w:rsid w:val="004D1BD4"/>
    <w:rsid w:val="004D22AF"/>
    <w:rsid w:val="004D60B9"/>
    <w:rsid w:val="004D711F"/>
    <w:rsid w:val="004E45B8"/>
    <w:rsid w:val="004E639D"/>
    <w:rsid w:val="004F7401"/>
    <w:rsid w:val="00506406"/>
    <w:rsid w:val="0051410D"/>
    <w:rsid w:val="00517E7D"/>
    <w:rsid w:val="0052512A"/>
    <w:rsid w:val="005277B0"/>
    <w:rsid w:val="00527CF6"/>
    <w:rsid w:val="00531216"/>
    <w:rsid w:val="00532C53"/>
    <w:rsid w:val="005364FB"/>
    <w:rsid w:val="005431B8"/>
    <w:rsid w:val="00543622"/>
    <w:rsid w:val="00550BA6"/>
    <w:rsid w:val="0055137A"/>
    <w:rsid w:val="0055670D"/>
    <w:rsid w:val="005623C7"/>
    <w:rsid w:val="0056306B"/>
    <w:rsid w:val="0056470B"/>
    <w:rsid w:val="00564E39"/>
    <w:rsid w:val="00570780"/>
    <w:rsid w:val="00571AE8"/>
    <w:rsid w:val="005800B7"/>
    <w:rsid w:val="00580278"/>
    <w:rsid w:val="00582E80"/>
    <w:rsid w:val="0058741B"/>
    <w:rsid w:val="005936A4"/>
    <w:rsid w:val="005951F1"/>
    <w:rsid w:val="005A008A"/>
    <w:rsid w:val="005A7E84"/>
    <w:rsid w:val="005B00E9"/>
    <w:rsid w:val="005B2F72"/>
    <w:rsid w:val="005B6904"/>
    <w:rsid w:val="005C562D"/>
    <w:rsid w:val="005C68A4"/>
    <w:rsid w:val="005D2EF4"/>
    <w:rsid w:val="005D4EEA"/>
    <w:rsid w:val="005E4074"/>
    <w:rsid w:val="005E7C18"/>
    <w:rsid w:val="005E7D85"/>
    <w:rsid w:val="005F5EE7"/>
    <w:rsid w:val="006058C1"/>
    <w:rsid w:val="00606463"/>
    <w:rsid w:val="006121BF"/>
    <w:rsid w:val="00613227"/>
    <w:rsid w:val="006205CE"/>
    <w:rsid w:val="006246FA"/>
    <w:rsid w:val="0062710D"/>
    <w:rsid w:val="006300E6"/>
    <w:rsid w:val="00630B35"/>
    <w:rsid w:val="00632547"/>
    <w:rsid w:val="006332C9"/>
    <w:rsid w:val="00635662"/>
    <w:rsid w:val="00636ADE"/>
    <w:rsid w:val="00637EB4"/>
    <w:rsid w:val="00647008"/>
    <w:rsid w:val="00647F03"/>
    <w:rsid w:val="00652D56"/>
    <w:rsid w:val="006618F1"/>
    <w:rsid w:val="00661BC4"/>
    <w:rsid w:val="00663440"/>
    <w:rsid w:val="00666453"/>
    <w:rsid w:val="006714AC"/>
    <w:rsid w:val="0067443D"/>
    <w:rsid w:val="006771FA"/>
    <w:rsid w:val="00682921"/>
    <w:rsid w:val="006841F2"/>
    <w:rsid w:val="006940A7"/>
    <w:rsid w:val="00695D16"/>
    <w:rsid w:val="006971B0"/>
    <w:rsid w:val="006A1822"/>
    <w:rsid w:val="006A69DF"/>
    <w:rsid w:val="006B04F5"/>
    <w:rsid w:val="006B1E6A"/>
    <w:rsid w:val="006B63BC"/>
    <w:rsid w:val="006B687D"/>
    <w:rsid w:val="006D7AC1"/>
    <w:rsid w:val="006E01D1"/>
    <w:rsid w:val="006E507D"/>
    <w:rsid w:val="006F34B2"/>
    <w:rsid w:val="006F581F"/>
    <w:rsid w:val="006F7802"/>
    <w:rsid w:val="00715B27"/>
    <w:rsid w:val="00731FF3"/>
    <w:rsid w:val="00733C08"/>
    <w:rsid w:val="00733CC5"/>
    <w:rsid w:val="00742591"/>
    <w:rsid w:val="00744A54"/>
    <w:rsid w:val="00745F3C"/>
    <w:rsid w:val="00762227"/>
    <w:rsid w:val="00776DBE"/>
    <w:rsid w:val="0077776C"/>
    <w:rsid w:val="00792483"/>
    <w:rsid w:val="00794138"/>
    <w:rsid w:val="00795316"/>
    <w:rsid w:val="007A50DB"/>
    <w:rsid w:val="007A7F9C"/>
    <w:rsid w:val="007B155F"/>
    <w:rsid w:val="007B3798"/>
    <w:rsid w:val="007B3C0B"/>
    <w:rsid w:val="007B5C5A"/>
    <w:rsid w:val="007D0156"/>
    <w:rsid w:val="007D0A43"/>
    <w:rsid w:val="007D1885"/>
    <w:rsid w:val="007D1C2D"/>
    <w:rsid w:val="007D2544"/>
    <w:rsid w:val="007D4AB9"/>
    <w:rsid w:val="007D596B"/>
    <w:rsid w:val="007F1202"/>
    <w:rsid w:val="007F7080"/>
    <w:rsid w:val="00810068"/>
    <w:rsid w:val="00810DFD"/>
    <w:rsid w:val="00811046"/>
    <w:rsid w:val="008129CD"/>
    <w:rsid w:val="00822E9C"/>
    <w:rsid w:val="008234F9"/>
    <w:rsid w:val="00826D7B"/>
    <w:rsid w:val="0083208E"/>
    <w:rsid w:val="00833C70"/>
    <w:rsid w:val="008445B9"/>
    <w:rsid w:val="00844C87"/>
    <w:rsid w:val="008461EE"/>
    <w:rsid w:val="0085230A"/>
    <w:rsid w:val="00852A2E"/>
    <w:rsid w:val="00855CDA"/>
    <w:rsid w:val="00863C1D"/>
    <w:rsid w:val="00870FE2"/>
    <w:rsid w:val="00871578"/>
    <w:rsid w:val="00871FEA"/>
    <w:rsid w:val="00873CF3"/>
    <w:rsid w:val="00881AE7"/>
    <w:rsid w:val="00887806"/>
    <w:rsid w:val="008A09F8"/>
    <w:rsid w:val="008A2020"/>
    <w:rsid w:val="008A23F9"/>
    <w:rsid w:val="008B06B3"/>
    <w:rsid w:val="008B4DA9"/>
    <w:rsid w:val="008B5CEF"/>
    <w:rsid w:val="008C1610"/>
    <w:rsid w:val="008C7433"/>
    <w:rsid w:val="008D0D85"/>
    <w:rsid w:val="008E0C7E"/>
    <w:rsid w:val="008F0F94"/>
    <w:rsid w:val="008F3204"/>
    <w:rsid w:val="00902ED5"/>
    <w:rsid w:val="00903B00"/>
    <w:rsid w:val="00914A30"/>
    <w:rsid w:val="00914E2D"/>
    <w:rsid w:val="00921EB8"/>
    <w:rsid w:val="00922F26"/>
    <w:rsid w:val="00924E86"/>
    <w:rsid w:val="00930DEA"/>
    <w:rsid w:val="00930E01"/>
    <w:rsid w:val="00937881"/>
    <w:rsid w:val="009416DC"/>
    <w:rsid w:val="00945E8F"/>
    <w:rsid w:val="00946B5A"/>
    <w:rsid w:val="00950083"/>
    <w:rsid w:val="00953F9E"/>
    <w:rsid w:val="00954BA1"/>
    <w:rsid w:val="009600CB"/>
    <w:rsid w:val="00961D55"/>
    <w:rsid w:val="00975E09"/>
    <w:rsid w:val="009773D6"/>
    <w:rsid w:val="00982409"/>
    <w:rsid w:val="009840BF"/>
    <w:rsid w:val="0099012B"/>
    <w:rsid w:val="0099100F"/>
    <w:rsid w:val="0099488C"/>
    <w:rsid w:val="00995D18"/>
    <w:rsid w:val="00995F75"/>
    <w:rsid w:val="00996F95"/>
    <w:rsid w:val="00997B57"/>
    <w:rsid w:val="009B7CB2"/>
    <w:rsid w:val="009C162D"/>
    <w:rsid w:val="009C42CD"/>
    <w:rsid w:val="009C67B5"/>
    <w:rsid w:val="009C7582"/>
    <w:rsid w:val="009C7ACA"/>
    <w:rsid w:val="009D1A8D"/>
    <w:rsid w:val="009D729B"/>
    <w:rsid w:val="009E374E"/>
    <w:rsid w:val="009E5024"/>
    <w:rsid w:val="009F2A51"/>
    <w:rsid w:val="00A01911"/>
    <w:rsid w:val="00A05944"/>
    <w:rsid w:val="00A07F9A"/>
    <w:rsid w:val="00A14CA5"/>
    <w:rsid w:val="00A168B1"/>
    <w:rsid w:val="00A20F4D"/>
    <w:rsid w:val="00A220D5"/>
    <w:rsid w:val="00A24EC9"/>
    <w:rsid w:val="00A26F90"/>
    <w:rsid w:val="00A30815"/>
    <w:rsid w:val="00A42430"/>
    <w:rsid w:val="00A50E60"/>
    <w:rsid w:val="00A54147"/>
    <w:rsid w:val="00A54971"/>
    <w:rsid w:val="00A55B6C"/>
    <w:rsid w:val="00A56487"/>
    <w:rsid w:val="00A57E1B"/>
    <w:rsid w:val="00A64F2C"/>
    <w:rsid w:val="00A72265"/>
    <w:rsid w:val="00A7284D"/>
    <w:rsid w:val="00A754D7"/>
    <w:rsid w:val="00A76606"/>
    <w:rsid w:val="00A77473"/>
    <w:rsid w:val="00A856E2"/>
    <w:rsid w:val="00A86574"/>
    <w:rsid w:val="00A86CD4"/>
    <w:rsid w:val="00A91E95"/>
    <w:rsid w:val="00A934C3"/>
    <w:rsid w:val="00A94811"/>
    <w:rsid w:val="00A95AC9"/>
    <w:rsid w:val="00AA06D6"/>
    <w:rsid w:val="00AA3BB4"/>
    <w:rsid w:val="00AA6DD0"/>
    <w:rsid w:val="00AB1B63"/>
    <w:rsid w:val="00AB7411"/>
    <w:rsid w:val="00AC32AB"/>
    <w:rsid w:val="00AC48BB"/>
    <w:rsid w:val="00AD125E"/>
    <w:rsid w:val="00AD223A"/>
    <w:rsid w:val="00AD32D0"/>
    <w:rsid w:val="00AE3960"/>
    <w:rsid w:val="00AE4126"/>
    <w:rsid w:val="00AE700D"/>
    <w:rsid w:val="00AF0BD2"/>
    <w:rsid w:val="00B0210D"/>
    <w:rsid w:val="00B04907"/>
    <w:rsid w:val="00B15D1C"/>
    <w:rsid w:val="00B1623E"/>
    <w:rsid w:val="00B22CB9"/>
    <w:rsid w:val="00B23969"/>
    <w:rsid w:val="00B249CA"/>
    <w:rsid w:val="00B30961"/>
    <w:rsid w:val="00B31492"/>
    <w:rsid w:val="00B41F8E"/>
    <w:rsid w:val="00B52B2B"/>
    <w:rsid w:val="00B72F72"/>
    <w:rsid w:val="00B75A7D"/>
    <w:rsid w:val="00B75CD8"/>
    <w:rsid w:val="00B81558"/>
    <w:rsid w:val="00B82977"/>
    <w:rsid w:val="00B82AB8"/>
    <w:rsid w:val="00B97AC5"/>
    <w:rsid w:val="00BA5550"/>
    <w:rsid w:val="00BB355E"/>
    <w:rsid w:val="00BC5203"/>
    <w:rsid w:val="00BC704E"/>
    <w:rsid w:val="00BD529B"/>
    <w:rsid w:val="00BE5E7B"/>
    <w:rsid w:val="00BF1D99"/>
    <w:rsid w:val="00BF25BB"/>
    <w:rsid w:val="00BF511F"/>
    <w:rsid w:val="00C0071D"/>
    <w:rsid w:val="00C02C7E"/>
    <w:rsid w:val="00C12222"/>
    <w:rsid w:val="00C14AFD"/>
    <w:rsid w:val="00C14E58"/>
    <w:rsid w:val="00C15FF1"/>
    <w:rsid w:val="00C16959"/>
    <w:rsid w:val="00C22C81"/>
    <w:rsid w:val="00C23DA9"/>
    <w:rsid w:val="00C26A3A"/>
    <w:rsid w:val="00C270BA"/>
    <w:rsid w:val="00C31136"/>
    <w:rsid w:val="00C3615C"/>
    <w:rsid w:val="00C41403"/>
    <w:rsid w:val="00C43D29"/>
    <w:rsid w:val="00C44522"/>
    <w:rsid w:val="00C4560C"/>
    <w:rsid w:val="00C45701"/>
    <w:rsid w:val="00C45FA7"/>
    <w:rsid w:val="00C5490B"/>
    <w:rsid w:val="00C5775A"/>
    <w:rsid w:val="00C57A36"/>
    <w:rsid w:val="00C634DA"/>
    <w:rsid w:val="00C6378D"/>
    <w:rsid w:val="00C7153B"/>
    <w:rsid w:val="00C72880"/>
    <w:rsid w:val="00C866A1"/>
    <w:rsid w:val="00C86904"/>
    <w:rsid w:val="00C919B9"/>
    <w:rsid w:val="00C93780"/>
    <w:rsid w:val="00C93DC3"/>
    <w:rsid w:val="00C93EBF"/>
    <w:rsid w:val="00CB1CD9"/>
    <w:rsid w:val="00CB6414"/>
    <w:rsid w:val="00CB6EEB"/>
    <w:rsid w:val="00CC32CF"/>
    <w:rsid w:val="00CC4414"/>
    <w:rsid w:val="00CD4227"/>
    <w:rsid w:val="00CD7472"/>
    <w:rsid w:val="00CD7D0D"/>
    <w:rsid w:val="00CE0C0A"/>
    <w:rsid w:val="00CF195D"/>
    <w:rsid w:val="00CF4D1F"/>
    <w:rsid w:val="00CF73BB"/>
    <w:rsid w:val="00CF7A92"/>
    <w:rsid w:val="00D00D84"/>
    <w:rsid w:val="00D061FD"/>
    <w:rsid w:val="00D11A6E"/>
    <w:rsid w:val="00D11CA9"/>
    <w:rsid w:val="00D15CBC"/>
    <w:rsid w:val="00D17180"/>
    <w:rsid w:val="00D20450"/>
    <w:rsid w:val="00D23842"/>
    <w:rsid w:val="00D30F1E"/>
    <w:rsid w:val="00D31F18"/>
    <w:rsid w:val="00D361F7"/>
    <w:rsid w:val="00D36935"/>
    <w:rsid w:val="00D44BE7"/>
    <w:rsid w:val="00D44D65"/>
    <w:rsid w:val="00D467AB"/>
    <w:rsid w:val="00D53AB3"/>
    <w:rsid w:val="00D53CDF"/>
    <w:rsid w:val="00D55482"/>
    <w:rsid w:val="00D6539D"/>
    <w:rsid w:val="00D73616"/>
    <w:rsid w:val="00D74FB2"/>
    <w:rsid w:val="00D85039"/>
    <w:rsid w:val="00D96675"/>
    <w:rsid w:val="00DA597F"/>
    <w:rsid w:val="00DB2F50"/>
    <w:rsid w:val="00DB5A82"/>
    <w:rsid w:val="00DB71BE"/>
    <w:rsid w:val="00DC4317"/>
    <w:rsid w:val="00DC58D0"/>
    <w:rsid w:val="00DC5975"/>
    <w:rsid w:val="00DD1042"/>
    <w:rsid w:val="00DD31BA"/>
    <w:rsid w:val="00DD3594"/>
    <w:rsid w:val="00DE4CD1"/>
    <w:rsid w:val="00DE630A"/>
    <w:rsid w:val="00DF5E98"/>
    <w:rsid w:val="00E02343"/>
    <w:rsid w:val="00E13025"/>
    <w:rsid w:val="00E21F27"/>
    <w:rsid w:val="00E25013"/>
    <w:rsid w:val="00E255C9"/>
    <w:rsid w:val="00E30782"/>
    <w:rsid w:val="00E35D79"/>
    <w:rsid w:val="00E366FD"/>
    <w:rsid w:val="00E46C45"/>
    <w:rsid w:val="00E503CB"/>
    <w:rsid w:val="00E5082D"/>
    <w:rsid w:val="00E541FA"/>
    <w:rsid w:val="00E56B53"/>
    <w:rsid w:val="00E62C3C"/>
    <w:rsid w:val="00E735A5"/>
    <w:rsid w:val="00E73AA8"/>
    <w:rsid w:val="00E73B92"/>
    <w:rsid w:val="00E761D3"/>
    <w:rsid w:val="00E77F20"/>
    <w:rsid w:val="00EA193E"/>
    <w:rsid w:val="00EA2F6E"/>
    <w:rsid w:val="00EA3875"/>
    <w:rsid w:val="00EB236F"/>
    <w:rsid w:val="00EB3C12"/>
    <w:rsid w:val="00ED32D0"/>
    <w:rsid w:val="00ED4341"/>
    <w:rsid w:val="00ED476F"/>
    <w:rsid w:val="00ED4D09"/>
    <w:rsid w:val="00EE35F3"/>
    <w:rsid w:val="00EF0741"/>
    <w:rsid w:val="00EF2168"/>
    <w:rsid w:val="00EF3615"/>
    <w:rsid w:val="00F01AB9"/>
    <w:rsid w:val="00F04CD7"/>
    <w:rsid w:val="00F148FC"/>
    <w:rsid w:val="00F23E54"/>
    <w:rsid w:val="00F26CA7"/>
    <w:rsid w:val="00F30DE9"/>
    <w:rsid w:val="00F35278"/>
    <w:rsid w:val="00F36065"/>
    <w:rsid w:val="00F407B2"/>
    <w:rsid w:val="00F4116E"/>
    <w:rsid w:val="00F43379"/>
    <w:rsid w:val="00F5243C"/>
    <w:rsid w:val="00F63A18"/>
    <w:rsid w:val="00F66A01"/>
    <w:rsid w:val="00F71D38"/>
    <w:rsid w:val="00F73D13"/>
    <w:rsid w:val="00F762E4"/>
    <w:rsid w:val="00F8156C"/>
    <w:rsid w:val="00F82B23"/>
    <w:rsid w:val="00F859E7"/>
    <w:rsid w:val="00F94B7D"/>
    <w:rsid w:val="00F95D9F"/>
    <w:rsid w:val="00FA17BE"/>
    <w:rsid w:val="00FB1612"/>
    <w:rsid w:val="00FB34D4"/>
    <w:rsid w:val="00FB7ABF"/>
    <w:rsid w:val="00FC0F0F"/>
    <w:rsid w:val="00FC277A"/>
    <w:rsid w:val="00FD25BC"/>
    <w:rsid w:val="00FD63F0"/>
    <w:rsid w:val="00FE40D1"/>
    <w:rsid w:val="00FE6EC0"/>
    <w:rsid w:val="00FF5961"/>
    <w:rsid w:val="039A6720"/>
    <w:rsid w:val="05955558"/>
    <w:rsid w:val="075E5DA6"/>
    <w:rsid w:val="08C14CA4"/>
    <w:rsid w:val="09A27BF0"/>
    <w:rsid w:val="09C51A18"/>
    <w:rsid w:val="132064B3"/>
    <w:rsid w:val="156F4137"/>
    <w:rsid w:val="16A135AF"/>
    <w:rsid w:val="171E2B79"/>
    <w:rsid w:val="1C42517B"/>
    <w:rsid w:val="204754F8"/>
    <w:rsid w:val="23963E1C"/>
    <w:rsid w:val="26AD78F8"/>
    <w:rsid w:val="2B0E3D2B"/>
    <w:rsid w:val="30BB3500"/>
    <w:rsid w:val="31F826DB"/>
    <w:rsid w:val="32E42817"/>
    <w:rsid w:val="36EE7981"/>
    <w:rsid w:val="39AA029E"/>
    <w:rsid w:val="3D585EEF"/>
    <w:rsid w:val="3D5D63C3"/>
    <w:rsid w:val="3EB151BB"/>
    <w:rsid w:val="3F7808F1"/>
    <w:rsid w:val="41C74603"/>
    <w:rsid w:val="42EF2B03"/>
    <w:rsid w:val="465E68EE"/>
    <w:rsid w:val="48CB07C2"/>
    <w:rsid w:val="48D0297B"/>
    <w:rsid w:val="4C315EC1"/>
    <w:rsid w:val="4D2B745D"/>
    <w:rsid w:val="4EF66E38"/>
    <w:rsid w:val="4F912E1A"/>
    <w:rsid w:val="52CC0E63"/>
    <w:rsid w:val="548A6963"/>
    <w:rsid w:val="54E7701D"/>
    <w:rsid w:val="54F05465"/>
    <w:rsid w:val="56D43F66"/>
    <w:rsid w:val="579434CB"/>
    <w:rsid w:val="5B432979"/>
    <w:rsid w:val="5D9F27A5"/>
    <w:rsid w:val="621F0F68"/>
    <w:rsid w:val="65255FF7"/>
    <w:rsid w:val="67686528"/>
    <w:rsid w:val="6874746B"/>
    <w:rsid w:val="695509F9"/>
    <w:rsid w:val="6F665FD1"/>
    <w:rsid w:val="6F6C0BA4"/>
    <w:rsid w:val="7074739D"/>
    <w:rsid w:val="728C2896"/>
    <w:rsid w:val="770B17CC"/>
    <w:rsid w:val="784748E4"/>
    <w:rsid w:val="794F56A1"/>
    <w:rsid w:val="7B355105"/>
    <w:rsid w:val="7C532359"/>
    <w:rsid w:val="7DF24E2F"/>
    <w:rsid w:val="7EBD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0ACE5D-4A70-44B7-B9B8-7EA79ECA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3"/>
    <w:next w:val="a"/>
    <w:link w:val="1Char"/>
    <w:uiPriority w:val="9"/>
    <w:qFormat/>
    <w:pPr>
      <w:autoSpaceDE w:val="0"/>
      <w:autoSpaceDN w:val="0"/>
      <w:adjustRightInd w:val="0"/>
      <w:jc w:val="center"/>
      <w:outlineLvl w:val="0"/>
    </w:pPr>
    <w:rPr>
      <w:rFonts w:ascii="宋体"/>
      <w:color w:val="000000"/>
      <w:sz w:val="28"/>
      <w:szCs w:val="20"/>
    </w:rPr>
  </w:style>
  <w:style w:type="paragraph" w:styleId="2">
    <w:name w:val="heading 2"/>
    <w:basedOn w:val="a"/>
    <w:next w:val="a"/>
    <w:link w:val="2Char"/>
    <w:uiPriority w:val="9"/>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uiPriority w:val="9"/>
    <w:qFormat/>
    <w:pPr>
      <w:keepNext/>
      <w:keepLines/>
      <w:numPr>
        <w:ilvl w:val="3"/>
        <w:numId w:val="1"/>
      </w:numPr>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qFormat/>
    <w:pPr>
      <w:keepNext/>
      <w:keepLines/>
      <w:spacing w:before="280" w:after="290" w:line="376" w:lineRule="atLeast"/>
      <w:ind w:firstLineChars="200" w:firstLine="420"/>
      <w:outlineLvl w:val="4"/>
    </w:pPr>
    <w:rPr>
      <w:rFonts w:ascii="Arial" w:eastAsia="微软雅黑" w:hAnsi="Arial"/>
      <w:b/>
      <w:bCs/>
      <w:sz w:val="28"/>
      <w:szCs w:val="28"/>
    </w:rPr>
  </w:style>
  <w:style w:type="paragraph" w:styleId="6">
    <w:name w:val="heading 6"/>
    <w:basedOn w:val="a"/>
    <w:next w:val="a"/>
    <w:link w:val="6Char"/>
    <w:uiPriority w:val="9"/>
    <w:qFormat/>
    <w:pPr>
      <w:keepNext/>
      <w:keepLines/>
      <w:spacing w:before="240" w:after="64" w:line="320" w:lineRule="atLeast"/>
      <w:ind w:firstLineChars="200" w:firstLine="420"/>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pPr>
      <w:ind w:leftChars="1200" w:left="2520"/>
    </w:pPr>
  </w:style>
  <w:style w:type="paragraph" w:styleId="40">
    <w:name w:val="List Bullet 4"/>
    <w:basedOn w:val="a"/>
    <w:qFormat/>
    <w:pPr>
      <w:tabs>
        <w:tab w:val="left" w:pos="1620"/>
      </w:tabs>
      <w:ind w:left="1620" w:hanging="360"/>
    </w:pPr>
    <w:rPr>
      <w:szCs w:val="20"/>
    </w:rPr>
  </w:style>
  <w:style w:type="paragraph" w:styleId="a3">
    <w:name w:val="Normal Indent"/>
    <w:basedOn w:val="a"/>
    <w:qFormat/>
    <w:pPr>
      <w:autoSpaceDE w:val="0"/>
      <w:autoSpaceDN w:val="0"/>
      <w:adjustRightInd w:val="0"/>
      <w:snapToGrid w:val="0"/>
      <w:spacing w:before="80" w:after="40" w:line="360" w:lineRule="auto"/>
      <w:ind w:left="567"/>
      <w:jc w:val="left"/>
    </w:pPr>
    <w:rPr>
      <w:kern w:val="0"/>
      <w:sz w:val="24"/>
      <w:szCs w:val="20"/>
    </w:rPr>
  </w:style>
  <w:style w:type="paragraph" w:styleId="a4">
    <w:name w:val="caption"/>
    <w:basedOn w:val="a"/>
    <w:next w:val="a"/>
    <w:uiPriority w:val="35"/>
    <w:qFormat/>
    <w:rPr>
      <w:rFonts w:ascii="Arial" w:eastAsia="黑体" w:hAnsi="Arial" w:cs="Arial"/>
      <w:sz w:val="20"/>
    </w:rPr>
  </w:style>
  <w:style w:type="paragraph" w:styleId="a5">
    <w:name w:val="List Bullet"/>
    <w:basedOn w:val="a"/>
    <w:qFormat/>
    <w:pPr>
      <w:tabs>
        <w:tab w:val="left" w:pos="360"/>
      </w:tabs>
      <w:ind w:left="360" w:hanging="360"/>
    </w:pPr>
    <w:rPr>
      <w:szCs w:val="20"/>
    </w:rPr>
  </w:style>
  <w:style w:type="paragraph" w:styleId="a6">
    <w:name w:val="Document Map"/>
    <w:basedOn w:val="a"/>
    <w:link w:val="Char"/>
    <w:uiPriority w:val="99"/>
    <w:unhideWhenUsed/>
    <w:qFormat/>
    <w:rPr>
      <w:rFonts w:ascii="宋体"/>
      <w:sz w:val="18"/>
      <w:szCs w:val="18"/>
    </w:rPr>
  </w:style>
  <w:style w:type="paragraph" w:styleId="a7">
    <w:name w:val="annotation text"/>
    <w:basedOn w:val="a"/>
    <w:link w:val="Char0"/>
    <w:uiPriority w:val="99"/>
    <w:pPr>
      <w:jc w:val="left"/>
    </w:pPr>
    <w:rPr>
      <w:rFonts w:ascii="Calibri" w:hAnsi="Calibri"/>
      <w:kern w:val="0"/>
      <w:sz w:val="20"/>
    </w:rPr>
  </w:style>
  <w:style w:type="paragraph" w:styleId="30">
    <w:name w:val="Body Text 3"/>
    <w:basedOn w:val="a"/>
    <w:link w:val="3Char0"/>
    <w:qFormat/>
    <w:pPr>
      <w:spacing w:after="120"/>
    </w:pPr>
    <w:rPr>
      <w:sz w:val="16"/>
      <w:szCs w:val="16"/>
    </w:rPr>
  </w:style>
  <w:style w:type="paragraph" w:styleId="a8">
    <w:name w:val="Body Text"/>
    <w:basedOn w:val="a"/>
    <w:link w:val="Char1"/>
    <w:unhideWhenUsed/>
    <w:pPr>
      <w:spacing w:after="120"/>
    </w:pPr>
  </w:style>
  <w:style w:type="paragraph" w:styleId="a9">
    <w:name w:val="Body Text Indent"/>
    <w:basedOn w:val="a"/>
    <w:link w:val="Char2"/>
    <w:qFormat/>
    <w:pPr>
      <w:ind w:firstLine="540"/>
    </w:pPr>
    <w:rPr>
      <w:sz w:val="28"/>
      <w:szCs w:val="20"/>
    </w:rPr>
  </w:style>
  <w:style w:type="paragraph" w:styleId="20">
    <w:name w:val="List Bullet 2"/>
    <w:basedOn w:val="a"/>
    <w:pPr>
      <w:tabs>
        <w:tab w:val="left" w:pos="780"/>
      </w:tabs>
      <w:ind w:left="780" w:hanging="360"/>
    </w:pPr>
    <w:rPr>
      <w:szCs w:val="20"/>
    </w:rPr>
  </w:style>
  <w:style w:type="paragraph" w:styleId="50">
    <w:name w:val="toc 5"/>
    <w:basedOn w:val="a"/>
    <w:next w:val="a"/>
    <w:uiPriority w:val="39"/>
    <w:pPr>
      <w:ind w:leftChars="800" w:left="1680"/>
    </w:pPr>
  </w:style>
  <w:style w:type="paragraph" w:styleId="31">
    <w:name w:val="toc 3"/>
    <w:basedOn w:val="a"/>
    <w:next w:val="a"/>
    <w:uiPriority w:val="39"/>
    <w:pPr>
      <w:ind w:leftChars="400" w:left="840"/>
    </w:pPr>
  </w:style>
  <w:style w:type="paragraph" w:styleId="aa">
    <w:name w:val="Plain Text"/>
    <w:basedOn w:val="a"/>
    <w:link w:val="Char3"/>
    <w:qFormat/>
    <w:rPr>
      <w:rFonts w:ascii="宋体" w:hAnsi="Courier New"/>
      <w:szCs w:val="20"/>
    </w:rPr>
  </w:style>
  <w:style w:type="paragraph" w:styleId="8">
    <w:name w:val="toc 8"/>
    <w:basedOn w:val="a"/>
    <w:next w:val="a"/>
    <w:uiPriority w:val="39"/>
    <w:qFormat/>
    <w:pPr>
      <w:ind w:leftChars="1400" w:left="2940"/>
    </w:pPr>
  </w:style>
  <w:style w:type="paragraph" w:styleId="ab">
    <w:name w:val="Date"/>
    <w:basedOn w:val="a"/>
    <w:next w:val="a"/>
    <w:link w:val="Char10"/>
    <w:rPr>
      <w:rFonts w:ascii="宋体" w:hAnsi="Courier New"/>
      <w:kern w:val="0"/>
      <w:sz w:val="32"/>
      <w:szCs w:val="20"/>
    </w:rPr>
  </w:style>
  <w:style w:type="paragraph" w:styleId="21">
    <w:name w:val="Body Text Indent 2"/>
    <w:basedOn w:val="a"/>
    <w:link w:val="2Char0"/>
    <w:pPr>
      <w:adjustRightInd w:val="0"/>
      <w:snapToGrid w:val="0"/>
      <w:spacing w:line="300" w:lineRule="auto"/>
      <w:ind w:firstLineChars="300" w:firstLine="630"/>
    </w:pPr>
    <w:rPr>
      <w:snapToGrid w:val="0"/>
      <w:kern w:val="0"/>
    </w:rPr>
  </w:style>
  <w:style w:type="paragraph" w:styleId="ac">
    <w:name w:val="Balloon Text"/>
    <w:basedOn w:val="a"/>
    <w:link w:val="Char4"/>
    <w:uiPriority w:val="99"/>
    <w:qFormat/>
    <w:rPr>
      <w:sz w:val="18"/>
      <w:szCs w:val="18"/>
    </w:rPr>
  </w:style>
  <w:style w:type="paragraph" w:styleId="ad">
    <w:name w:val="footer"/>
    <w:basedOn w:val="a"/>
    <w:link w:val="Char5"/>
    <w:uiPriority w:val="99"/>
    <w:unhideWhenUsed/>
    <w:qFormat/>
    <w:pPr>
      <w:tabs>
        <w:tab w:val="center" w:pos="4153"/>
        <w:tab w:val="right" w:pos="8306"/>
      </w:tabs>
      <w:snapToGrid w:val="0"/>
      <w:jc w:val="left"/>
    </w:pPr>
    <w:rPr>
      <w:sz w:val="18"/>
      <w:szCs w:val="18"/>
    </w:rPr>
  </w:style>
  <w:style w:type="paragraph" w:styleId="ae">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autoSpaceDE w:val="0"/>
      <w:autoSpaceDN w:val="0"/>
      <w:adjustRightInd w:val="0"/>
    </w:pPr>
    <w:rPr>
      <w:rFonts w:ascii="宋体" w:hAnsi="宋体"/>
      <w:snapToGrid w:val="0"/>
      <w:color w:val="000000"/>
      <w:kern w:val="0"/>
      <w:szCs w:val="18"/>
    </w:rPr>
  </w:style>
  <w:style w:type="paragraph" w:styleId="41">
    <w:name w:val="toc 4"/>
    <w:basedOn w:val="a"/>
    <w:next w:val="a"/>
    <w:uiPriority w:val="39"/>
    <w:pPr>
      <w:ind w:leftChars="600" w:left="1260"/>
    </w:pPr>
  </w:style>
  <w:style w:type="paragraph" w:styleId="af">
    <w:name w:val="index heading"/>
    <w:basedOn w:val="a"/>
    <w:next w:val="11"/>
    <w:semiHidden/>
    <w:qFormat/>
    <w:rPr>
      <w:szCs w:val="20"/>
    </w:rPr>
  </w:style>
  <w:style w:type="paragraph" w:styleId="11">
    <w:name w:val="index 1"/>
    <w:basedOn w:val="a"/>
    <w:next w:val="a"/>
    <w:uiPriority w:val="99"/>
    <w:unhideWhenUsed/>
  </w:style>
  <w:style w:type="paragraph" w:styleId="af0">
    <w:name w:val="Subtitle"/>
    <w:basedOn w:val="a"/>
    <w:next w:val="a"/>
    <w:link w:val="Char7"/>
    <w:uiPriority w:val="11"/>
    <w:qFormat/>
    <w:pPr>
      <w:spacing w:before="240" w:after="240" w:line="312" w:lineRule="auto"/>
      <w:ind w:firstLineChars="200" w:firstLine="420"/>
      <w:jc w:val="center"/>
      <w:outlineLvl w:val="1"/>
    </w:pPr>
    <w:rPr>
      <w:rFonts w:ascii="Cambria" w:eastAsia="仿宋" w:hAnsi="Cambria"/>
      <w:b/>
      <w:bCs/>
      <w:kern w:val="28"/>
      <w:sz w:val="32"/>
      <w:szCs w:val="32"/>
    </w:rPr>
  </w:style>
  <w:style w:type="paragraph" w:styleId="60">
    <w:name w:val="toc 6"/>
    <w:basedOn w:val="a"/>
    <w:next w:val="a"/>
    <w:uiPriority w:val="39"/>
    <w:pPr>
      <w:ind w:leftChars="1000" w:left="2100"/>
    </w:pPr>
  </w:style>
  <w:style w:type="paragraph" w:styleId="32">
    <w:name w:val="Body Text Indent 3"/>
    <w:basedOn w:val="a"/>
    <w:link w:val="3Char1"/>
    <w:pPr>
      <w:adjustRightInd w:val="0"/>
      <w:snapToGrid w:val="0"/>
      <w:spacing w:line="300" w:lineRule="auto"/>
      <w:ind w:firstLineChars="200" w:firstLine="420"/>
    </w:pPr>
    <w:rPr>
      <w:rFonts w:ascii="宋体" w:hAnsi="Calibri"/>
      <w:kern w:val="0"/>
      <w:sz w:val="20"/>
    </w:rPr>
  </w:style>
  <w:style w:type="paragraph" w:styleId="22">
    <w:name w:val="toc 2"/>
    <w:basedOn w:val="a"/>
    <w:next w:val="a"/>
    <w:uiPriority w:val="39"/>
    <w:pPr>
      <w:ind w:leftChars="200" w:left="420"/>
    </w:pPr>
  </w:style>
  <w:style w:type="paragraph" w:styleId="9">
    <w:name w:val="toc 9"/>
    <w:basedOn w:val="a"/>
    <w:next w:val="a"/>
    <w:uiPriority w:val="39"/>
    <w:pPr>
      <w:ind w:leftChars="1600" w:left="3360"/>
    </w:pPr>
  </w:style>
  <w:style w:type="paragraph" w:styleId="23">
    <w:name w:val="Body Text 2"/>
    <w:basedOn w:val="a"/>
    <w:link w:val="2Char1"/>
    <w:pPr>
      <w:spacing w:after="120" w:line="480" w:lineRule="auto"/>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color w:val="000000"/>
      <w:kern w:val="0"/>
      <w:sz w:val="20"/>
      <w:szCs w:val="20"/>
    </w:rPr>
  </w:style>
  <w:style w:type="paragraph" w:styleId="af1">
    <w:name w:val="Normal (Web)"/>
    <w:basedOn w:val="a"/>
    <w:pPr>
      <w:widowControl/>
      <w:spacing w:before="100" w:beforeAutospacing="1" w:after="100" w:afterAutospacing="1"/>
      <w:jc w:val="left"/>
    </w:pPr>
    <w:rPr>
      <w:rFonts w:ascii="宋体" w:hAnsi="宋体"/>
      <w:kern w:val="0"/>
      <w:sz w:val="24"/>
    </w:rPr>
  </w:style>
  <w:style w:type="paragraph" w:styleId="af2">
    <w:name w:val="Title"/>
    <w:basedOn w:val="a"/>
    <w:next w:val="a"/>
    <w:link w:val="Char8"/>
    <w:uiPriority w:val="10"/>
    <w:qFormat/>
    <w:pPr>
      <w:spacing w:line="360" w:lineRule="auto"/>
      <w:ind w:firstLineChars="200" w:firstLine="420"/>
      <w:jc w:val="center"/>
      <w:outlineLvl w:val="0"/>
    </w:pPr>
    <w:rPr>
      <w:rFonts w:ascii="Cambria" w:eastAsia="微软雅黑" w:hAnsi="Cambria"/>
      <w:b/>
      <w:bCs/>
      <w:sz w:val="52"/>
      <w:szCs w:val="32"/>
    </w:rPr>
  </w:style>
  <w:style w:type="paragraph" w:styleId="af3">
    <w:name w:val="annotation subject"/>
    <w:basedOn w:val="a7"/>
    <w:next w:val="a7"/>
    <w:link w:val="Char9"/>
    <w:uiPriority w:val="99"/>
    <w:unhideWhenUsed/>
    <w:rPr>
      <w:b/>
      <w:bCs/>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qFormat/>
    <w:rPr>
      <w:b/>
      <w:bCs/>
    </w:rPr>
  </w:style>
  <w:style w:type="character" w:styleId="af6">
    <w:name w:val="page number"/>
    <w:basedOn w:val="a0"/>
  </w:style>
  <w:style w:type="character" w:styleId="af7">
    <w:name w:val="FollowedHyperlink"/>
    <w:uiPriority w:val="99"/>
    <w:rPr>
      <w:color w:val="800080"/>
      <w:u w:val="single"/>
    </w:rPr>
  </w:style>
  <w:style w:type="character" w:styleId="af8">
    <w:name w:val="Emphasis"/>
    <w:qFormat/>
    <w:rPr>
      <w:color w:val="CC0000"/>
    </w:rPr>
  </w:style>
  <w:style w:type="character" w:styleId="af9">
    <w:name w:val="Hyperlink"/>
    <w:uiPriority w:val="99"/>
    <w:rPr>
      <w:color w:val="0000FF"/>
      <w:u w:val="single"/>
    </w:rPr>
  </w:style>
  <w:style w:type="character" w:styleId="afa">
    <w:name w:val="annotation reference"/>
    <w:uiPriority w:val="99"/>
    <w:unhideWhenUsed/>
    <w:rPr>
      <w:sz w:val="21"/>
      <w:szCs w:val="21"/>
    </w:rPr>
  </w:style>
  <w:style w:type="character" w:customStyle="1" w:styleId="Char">
    <w:name w:val="文档结构图 Char"/>
    <w:link w:val="a6"/>
    <w:uiPriority w:val="99"/>
    <w:semiHidden/>
    <w:rPr>
      <w:rFonts w:ascii="宋体" w:eastAsia="宋体" w:hAnsi="Times New Roman" w:cs="Times New Roman"/>
      <w:sz w:val="18"/>
      <w:szCs w:val="18"/>
    </w:rPr>
  </w:style>
  <w:style w:type="character" w:customStyle="1" w:styleId="6Char">
    <w:name w:val="标题 6 Char"/>
    <w:link w:val="6"/>
    <w:uiPriority w:val="9"/>
    <w:rPr>
      <w:rFonts w:ascii="Cambria" w:eastAsia="宋体" w:hAnsi="Cambria" w:cs="Times New Roman"/>
      <w:b/>
      <w:bCs/>
      <w:sz w:val="24"/>
      <w:szCs w:val="24"/>
    </w:rPr>
  </w:style>
  <w:style w:type="character" w:customStyle="1" w:styleId="Char3">
    <w:name w:val="纯文本 Char"/>
    <w:link w:val="aa"/>
    <w:rPr>
      <w:rFonts w:ascii="宋体" w:eastAsia="宋体" w:hAnsi="Courier New" w:cs="Times New Roman"/>
      <w:szCs w:val="20"/>
    </w:rPr>
  </w:style>
  <w:style w:type="character" w:customStyle="1" w:styleId="1Char">
    <w:name w:val="标题 1 Char"/>
    <w:link w:val="1"/>
    <w:uiPriority w:val="9"/>
    <w:rPr>
      <w:rFonts w:ascii="宋体" w:eastAsia="宋体" w:hAnsi="Times New Roman" w:cs="Times New Roman"/>
      <w:color w:val="000000"/>
      <w:sz w:val="28"/>
      <w:szCs w:val="20"/>
    </w:rPr>
  </w:style>
  <w:style w:type="character" w:customStyle="1" w:styleId="Char11">
    <w:name w:val="批注文字 Char1"/>
    <w:uiPriority w:val="99"/>
    <w:semiHidden/>
    <w:rPr>
      <w:rFonts w:ascii="Times New Roman" w:eastAsia="宋体" w:hAnsi="Times New Roman" w:cs="Times New Roman"/>
      <w:szCs w:val="24"/>
    </w:rPr>
  </w:style>
  <w:style w:type="character" w:customStyle="1" w:styleId="Chara">
    <w:name w:val="无间隔 Char"/>
    <w:link w:val="afb"/>
    <w:uiPriority w:val="1"/>
    <w:rPr>
      <w:sz w:val="22"/>
      <w:szCs w:val="22"/>
      <w:lang w:val="en-US" w:eastAsia="zh-CN" w:bidi="ar-SA"/>
    </w:rPr>
  </w:style>
  <w:style w:type="paragraph" w:styleId="afb">
    <w:name w:val="No Spacing"/>
    <w:link w:val="Chara"/>
    <w:uiPriority w:val="1"/>
    <w:qFormat/>
    <w:rPr>
      <w:sz w:val="22"/>
      <w:szCs w:val="22"/>
    </w:rPr>
  </w:style>
  <w:style w:type="character" w:customStyle="1" w:styleId="5Char">
    <w:name w:val="标题 5 Char"/>
    <w:link w:val="5"/>
    <w:uiPriority w:val="9"/>
    <w:rPr>
      <w:rFonts w:ascii="Arial" w:eastAsia="微软雅黑" w:hAnsi="Arial" w:cs="Times New Roman"/>
      <w:b/>
      <w:bCs/>
      <w:sz w:val="28"/>
      <w:szCs w:val="28"/>
    </w:rPr>
  </w:style>
  <w:style w:type="character" w:customStyle="1" w:styleId="font61">
    <w:name w:val="font61"/>
    <w:rPr>
      <w:rFonts w:ascii="Arial" w:hAnsi="Arial" w:cs="Arial"/>
      <w:color w:val="000000"/>
      <w:sz w:val="20"/>
      <w:szCs w:val="20"/>
      <w:u w:val="none"/>
    </w:rPr>
  </w:style>
  <w:style w:type="character" w:customStyle="1" w:styleId="Charb">
    <w:name w:val="列出段落 Char"/>
    <w:link w:val="afc"/>
    <w:uiPriority w:val="34"/>
    <w:rPr>
      <w:rFonts w:ascii="Calibri" w:eastAsia="宋体" w:hAnsi="Calibri" w:cs="Times New Roman"/>
    </w:rPr>
  </w:style>
  <w:style w:type="paragraph" w:styleId="afc">
    <w:name w:val="List Paragraph"/>
    <w:basedOn w:val="a"/>
    <w:link w:val="Charb"/>
    <w:uiPriority w:val="34"/>
    <w:qFormat/>
    <w:pPr>
      <w:ind w:firstLineChars="200" w:firstLine="420"/>
    </w:pPr>
    <w:rPr>
      <w:rFonts w:ascii="Calibri" w:hAnsi="Calibri"/>
      <w:kern w:val="0"/>
      <w:sz w:val="20"/>
      <w:szCs w:val="20"/>
    </w:rPr>
  </w:style>
  <w:style w:type="character" w:customStyle="1" w:styleId="Charc">
    <w:name w:val="日期 Char"/>
    <w:rPr>
      <w:rFonts w:ascii="宋体" w:hAnsi="Courier New"/>
      <w:sz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3Char2">
    <w:name w:val="正文文本缩进 3 Char"/>
    <w:rPr>
      <w:rFonts w:ascii="宋体"/>
      <w:szCs w:val="24"/>
    </w:rPr>
  </w:style>
  <w:style w:type="character" w:customStyle="1" w:styleId="2Char">
    <w:name w:val="标题 2 Char"/>
    <w:link w:val="2"/>
    <w:uiPriority w:val="9"/>
    <w:rPr>
      <w:rFonts w:ascii="Arial" w:eastAsia="宋体" w:hAnsi="Arial" w:cs="Times New Roman"/>
      <w:b/>
      <w:bCs/>
      <w:sz w:val="32"/>
      <w:szCs w:val="32"/>
    </w:rPr>
  </w:style>
  <w:style w:type="character" w:customStyle="1" w:styleId="Char10">
    <w:name w:val="日期 Char1"/>
    <w:link w:val="ab"/>
    <w:uiPriority w:val="99"/>
    <w:semiHidden/>
    <w:rPr>
      <w:rFonts w:ascii="Times New Roman" w:eastAsia="宋体" w:hAnsi="Times New Roman" w:cs="Times New Roman"/>
      <w:szCs w:val="24"/>
    </w:rPr>
  </w:style>
  <w:style w:type="character" w:customStyle="1" w:styleId="HTMLChar">
    <w:name w:val="HTML 预设格式 Char"/>
    <w:link w:val="HTML"/>
    <w:rPr>
      <w:rFonts w:ascii="Arial Unicode MS" w:eastAsia="Arial Unicode MS" w:hAnsi="Arial Unicode MS" w:cs="Arial Unicode MS"/>
      <w:color w:val="000000"/>
      <w:kern w:val="0"/>
      <w:sz w:val="20"/>
      <w:szCs w:val="20"/>
    </w:rPr>
  </w:style>
  <w:style w:type="character" w:customStyle="1" w:styleId="Char6">
    <w:name w:val="页眉 Char"/>
    <w:link w:val="ae"/>
    <w:uiPriority w:val="99"/>
    <w:rPr>
      <w:sz w:val="18"/>
      <w:szCs w:val="18"/>
    </w:rPr>
  </w:style>
  <w:style w:type="character" w:customStyle="1" w:styleId="Char9">
    <w:name w:val="批注主题 Char"/>
    <w:link w:val="af3"/>
    <w:uiPriority w:val="99"/>
    <w:semiHidden/>
    <w:rPr>
      <w:rFonts w:ascii="Times New Roman" w:eastAsia="宋体" w:hAnsi="Times New Roman" w:cs="Times New Roman"/>
      <w:b/>
      <w:bCs/>
      <w:szCs w:val="24"/>
    </w:rPr>
  </w:style>
  <w:style w:type="character" w:customStyle="1" w:styleId="Char5">
    <w:name w:val="页脚 Char"/>
    <w:link w:val="ad"/>
    <w:uiPriority w:val="99"/>
    <w:rPr>
      <w:sz w:val="18"/>
      <w:szCs w:val="18"/>
    </w:rPr>
  </w:style>
  <w:style w:type="character" w:customStyle="1" w:styleId="Char4">
    <w:name w:val="批注框文本 Char"/>
    <w:link w:val="ac"/>
    <w:uiPriority w:val="99"/>
    <w:rPr>
      <w:rFonts w:ascii="Times New Roman" w:eastAsia="宋体" w:hAnsi="Times New Roman" w:cs="Times New Roman"/>
      <w:sz w:val="18"/>
      <w:szCs w:val="18"/>
    </w:rPr>
  </w:style>
  <w:style w:type="character" w:customStyle="1" w:styleId="2Char0">
    <w:name w:val="正文文本缩进 2 Char"/>
    <w:link w:val="21"/>
    <w:rPr>
      <w:rFonts w:ascii="Times New Roman" w:eastAsia="宋体" w:hAnsi="Times New Roman" w:cs="Times New Roman"/>
      <w:snapToGrid w:val="0"/>
      <w:kern w:val="0"/>
      <w:szCs w:val="24"/>
    </w:rPr>
  </w:style>
  <w:style w:type="character" w:customStyle="1" w:styleId="Char1">
    <w:name w:val="正文文本 Char"/>
    <w:link w:val="a8"/>
    <w:rPr>
      <w:rFonts w:ascii="Times New Roman" w:eastAsia="宋体" w:hAnsi="Times New Roman" w:cs="Times New Roman"/>
      <w:szCs w:val="24"/>
    </w:rPr>
  </w:style>
  <w:style w:type="character" w:customStyle="1" w:styleId="Char7">
    <w:name w:val="副标题 Char"/>
    <w:link w:val="af0"/>
    <w:uiPriority w:val="11"/>
    <w:rPr>
      <w:rFonts w:ascii="Cambria" w:eastAsia="仿宋" w:hAnsi="Cambria"/>
      <w:b/>
      <w:bCs/>
      <w:kern w:val="28"/>
      <w:sz w:val="32"/>
      <w:szCs w:val="32"/>
    </w:rPr>
  </w:style>
  <w:style w:type="character" w:customStyle="1" w:styleId="Char0">
    <w:name w:val="批注文字 Char"/>
    <w:link w:val="a7"/>
    <w:uiPriority w:val="99"/>
    <w:rPr>
      <w:szCs w:val="24"/>
    </w:rPr>
  </w:style>
  <w:style w:type="character" w:customStyle="1" w:styleId="3Char1">
    <w:name w:val="正文文本缩进 3 Char1"/>
    <w:link w:val="32"/>
    <w:uiPriority w:val="99"/>
    <w:semiHidden/>
    <w:rPr>
      <w:rFonts w:ascii="Times New Roman" w:eastAsia="宋体" w:hAnsi="Times New Roman" w:cs="Times New Roman"/>
      <w:sz w:val="16"/>
      <w:szCs w:val="16"/>
    </w:rPr>
  </w:style>
  <w:style w:type="character" w:customStyle="1" w:styleId="Char2">
    <w:name w:val="正文文本缩进 Char"/>
    <w:link w:val="a9"/>
    <w:rPr>
      <w:rFonts w:ascii="Times New Roman" w:eastAsia="宋体" w:hAnsi="Times New Roman" w:cs="Times New Roman"/>
      <w:sz w:val="28"/>
      <w:szCs w:val="20"/>
    </w:rPr>
  </w:style>
  <w:style w:type="character" w:customStyle="1" w:styleId="2Char1">
    <w:name w:val="正文文本 2 Char"/>
    <w:link w:val="23"/>
    <w:rPr>
      <w:rFonts w:ascii="Times New Roman" w:eastAsia="宋体" w:hAnsi="Times New Roman" w:cs="Times New Roman"/>
      <w:szCs w:val="24"/>
    </w:rPr>
  </w:style>
  <w:style w:type="character" w:customStyle="1" w:styleId="Char8">
    <w:name w:val="标题 Char"/>
    <w:link w:val="af2"/>
    <w:uiPriority w:val="10"/>
    <w:rPr>
      <w:rFonts w:ascii="Cambria" w:eastAsia="微软雅黑" w:hAnsi="Cambria"/>
      <w:b/>
      <w:bCs/>
      <w:kern w:val="2"/>
      <w:sz w:val="52"/>
      <w:szCs w:val="32"/>
    </w:rPr>
  </w:style>
  <w:style w:type="character" w:customStyle="1" w:styleId="3Char0">
    <w:name w:val="正文文本 3 Char"/>
    <w:link w:val="30"/>
    <w:rPr>
      <w:rFonts w:ascii="Times New Roman" w:eastAsia="宋体" w:hAnsi="Times New Roman" w:cs="Times New Roman"/>
      <w:sz w:val="16"/>
      <w:szCs w:val="16"/>
    </w:rPr>
  </w:style>
  <w:style w:type="character" w:customStyle="1" w:styleId="font71">
    <w:name w:val="font71"/>
    <w:rPr>
      <w:rFonts w:ascii="宋体" w:eastAsia="宋体" w:hAnsi="宋体" w:cs="宋体" w:hint="eastAsia"/>
      <w:color w:val="000000"/>
      <w:sz w:val="20"/>
      <w:szCs w:val="20"/>
      <w:u w:val="none"/>
    </w:rPr>
  </w:style>
  <w:style w:type="paragraph" w:customStyle="1" w:styleId="font0">
    <w:name w:val="font0"/>
    <w:basedOn w:val="a"/>
    <w:pPr>
      <w:widowControl/>
      <w:spacing w:before="100" w:beforeAutospacing="1" w:after="100" w:afterAutospacing="1"/>
      <w:jc w:val="left"/>
    </w:pPr>
    <w:rPr>
      <w:rFonts w:ascii="宋体" w:hAnsi="宋体" w:cs="Arial Unicode MS" w:hint="eastAsia"/>
      <w:kern w:val="0"/>
      <w:sz w:val="24"/>
    </w:rPr>
  </w:style>
  <w:style w:type="paragraph" w:customStyle="1" w:styleId="font9">
    <w:name w:val="font9"/>
    <w:basedOn w:val="a"/>
    <w:pPr>
      <w:widowControl/>
      <w:spacing w:before="100" w:beforeAutospacing="1" w:after="100" w:afterAutospacing="1"/>
      <w:jc w:val="left"/>
    </w:pPr>
    <w:rPr>
      <w:rFonts w:ascii="宋体" w:hAnsi="宋体" w:cs="Arial Unicode MS" w:hint="eastAsia"/>
      <w:color w:val="000000"/>
      <w:kern w:val="0"/>
      <w:sz w:val="24"/>
    </w:rPr>
  </w:style>
  <w:style w:type="paragraph" w:customStyle="1" w:styleId="xl562">
    <w:name w:val="xl5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4">
    <w:name w:val="xl534"/>
    <w:basedOn w:val="a"/>
    <w:qFormat/>
    <w:pPr>
      <w:widowControl/>
      <w:spacing w:before="100" w:beforeAutospacing="1" w:after="100" w:afterAutospacing="1"/>
      <w:jc w:val="left"/>
      <w:textAlignment w:val="bottom"/>
    </w:pPr>
    <w:rPr>
      <w:rFonts w:ascii="宋体" w:hAnsi="宋体" w:cs="宋体"/>
      <w:b/>
      <w:bCs/>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xl561">
    <w:name w:val="xl5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7">
    <w:name w:val="xl47"/>
    <w:basedOn w:val="a"/>
    <w:qFormat/>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Chard">
    <w:name w:val="Char"/>
    <w:basedOn w:val="a"/>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xl548">
    <w:name w:val="xl5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20"/>
      <w:szCs w:val="20"/>
    </w:rPr>
  </w:style>
  <w:style w:type="paragraph" w:customStyle="1" w:styleId="12">
    <w:name w:val="列出段落1"/>
    <w:basedOn w:val="a"/>
    <w:uiPriority w:val="34"/>
    <w:qFormat/>
    <w:pPr>
      <w:widowControl/>
      <w:ind w:left="720"/>
      <w:contextualSpacing/>
      <w:jc w:val="left"/>
    </w:pPr>
    <w:rPr>
      <w:rFonts w:ascii="Arial" w:hAnsi="Arial"/>
      <w:kern w:val="0"/>
      <w:sz w:val="22"/>
      <w:szCs w:val="20"/>
      <w:lang w:val="nl" w:eastAsia="nl-NL"/>
    </w:rPr>
  </w:style>
  <w:style w:type="paragraph" w:customStyle="1" w:styleId="xl563">
    <w:name w:val="xl5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font7">
    <w:name w:val="font7"/>
    <w:basedOn w:val="a"/>
    <w:pPr>
      <w:widowControl/>
      <w:spacing w:before="100" w:beforeAutospacing="1" w:after="100" w:afterAutospacing="1"/>
      <w:jc w:val="left"/>
    </w:pPr>
    <w:rPr>
      <w:rFonts w:eastAsia="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555">
    <w:name w:val="xl5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20"/>
      <w:szCs w:val="20"/>
    </w:rPr>
  </w:style>
  <w:style w:type="paragraph" w:customStyle="1" w:styleId="Style54">
    <w:name w:val="_Style 54"/>
    <w:basedOn w:val="a"/>
    <w:next w:val="aa"/>
    <w:rPr>
      <w:rFonts w:ascii="宋体" w:hAnsi="Courier New"/>
      <w:szCs w:val="20"/>
    </w:rPr>
  </w:style>
  <w:style w:type="paragraph" w:customStyle="1" w:styleId="xl550">
    <w:name w:val="xl5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536">
    <w:name w:val="xl536"/>
    <w:basedOn w:val="a"/>
    <w:pPr>
      <w:widowControl/>
      <w:spacing w:before="100" w:beforeAutospacing="1" w:after="100" w:afterAutospacing="1"/>
      <w:jc w:val="left"/>
      <w:textAlignment w:val="bottom"/>
    </w:pPr>
    <w:rPr>
      <w:rFonts w:ascii="宋体" w:hAnsi="宋体" w:cs="宋体"/>
      <w:kern w:val="0"/>
      <w:sz w:val="20"/>
      <w:szCs w:val="20"/>
    </w:rPr>
  </w:style>
  <w:style w:type="paragraph" w:customStyle="1" w:styleId="xl543">
    <w:name w:val="xl5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xl48">
    <w:name w:val="xl48"/>
    <w:basedOn w:val="a"/>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24">
    <w:name w:val="列出段落2"/>
    <w:basedOn w:val="a"/>
    <w:pPr>
      <w:ind w:firstLineChars="200" w:firstLine="420"/>
    </w:pPr>
  </w:style>
  <w:style w:type="paragraph" w:customStyle="1" w:styleId="xl553">
    <w:name w:val="xl5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
    <w:name w:val="TOC 标题1"/>
    <w:basedOn w:val="1"/>
    <w:next w:val="a"/>
    <w:uiPriority w:val="39"/>
    <w:qFormat/>
    <w:pPr>
      <w:widowControl/>
      <w:autoSpaceDE/>
      <w:autoSpaceDN/>
      <w:adjustRightInd/>
      <w:spacing w:before="480" w:line="276" w:lineRule="auto"/>
      <w:jc w:val="left"/>
      <w:outlineLvl w:val="9"/>
    </w:pPr>
    <w:rPr>
      <w:rFonts w:ascii="Cambria" w:hAnsi="Cambria"/>
      <w:color w:val="365F91"/>
      <w:kern w:val="0"/>
      <w:szCs w:val="28"/>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551">
    <w:name w:val="xl5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557">
    <w:name w:val="xl5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544">
    <w:name w:val="xl5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52">
    <w:name w:val="_Style 52"/>
    <w:basedOn w:val="a"/>
    <w:next w:val="aa"/>
    <w:rPr>
      <w:rFonts w:ascii="宋体" w:hAnsi="Courier New"/>
      <w:szCs w:val="20"/>
    </w:rPr>
  </w:style>
  <w:style w:type="paragraph" w:customStyle="1" w:styleId="xl547">
    <w:name w:val="xl5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7">
    <w:name w:val="xl537"/>
    <w:basedOn w:val="a"/>
    <w:pPr>
      <w:widowControl/>
      <w:spacing w:before="100" w:beforeAutospacing="1" w:after="100" w:afterAutospacing="1"/>
      <w:jc w:val="center"/>
    </w:pPr>
    <w:rPr>
      <w:rFonts w:ascii="宋体" w:hAnsi="宋体" w:cs="宋体"/>
      <w:kern w:val="0"/>
      <w:sz w:val="20"/>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rPr>
  </w:style>
  <w:style w:type="paragraph" w:customStyle="1" w:styleId="51">
    <w:name w:val="题注5"/>
    <w:basedOn w:val="a"/>
    <w:next w:val="a4"/>
    <w:pPr>
      <w:jc w:val="center"/>
    </w:pPr>
    <w:rPr>
      <w:b/>
      <w:color w:val="000000"/>
      <w:sz w:val="24"/>
      <w:szCs w:val="21"/>
    </w:rPr>
  </w:style>
  <w:style w:type="paragraph" w:customStyle="1" w:styleId="xl546">
    <w:name w:val="xl5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2">
    <w:name w:val="Char1"/>
    <w:basedOn w:val="a"/>
    <w:pPr>
      <w:widowControl/>
      <w:spacing w:after="160" w:line="240" w:lineRule="exact"/>
      <w:jc w:val="left"/>
    </w:pPr>
    <w:rPr>
      <w:rFonts w:ascii="Verdana" w:eastAsia="仿宋_GB2312" w:hAnsi="Verdana"/>
      <w:kern w:val="0"/>
      <w:sz w:val="24"/>
      <w:szCs w:val="20"/>
      <w:lang w:eastAsia="en-US"/>
    </w:rPr>
  </w:style>
  <w:style w:type="paragraph" w:customStyle="1" w:styleId="xl558">
    <w:name w:val="xl5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5">
    <w:name w:val="正文 2"/>
    <w:basedOn w:val="a"/>
    <w:pPr>
      <w:autoSpaceDE w:val="0"/>
      <w:autoSpaceDN w:val="0"/>
      <w:adjustRightInd w:val="0"/>
      <w:snapToGrid w:val="0"/>
      <w:spacing w:before="80" w:after="40" w:line="360" w:lineRule="auto"/>
      <w:ind w:left="1134"/>
      <w:jc w:val="left"/>
    </w:pPr>
    <w:rPr>
      <w:kern w:val="0"/>
      <w:sz w:val="24"/>
      <w:szCs w:val="20"/>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13">
    <w:name w:val="样式1"/>
    <w:basedOn w:val="a"/>
    <w:pPr>
      <w:autoSpaceDE w:val="0"/>
      <w:autoSpaceDN w:val="0"/>
      <w:adjustRightInd w:val="0"/>
      <w:spacing w:line="440" w:lineRule="atLeast"/>
      <w:ind w:firstLine="601"/>
      <w:textAlignment w:val="baseline"/>
    </w:pPr>
    <w:rPr>
      <w:rFonts w:ascii="宋体"/>
      <w:kern w:val="0"/>
      <w:sz w:val="28"/>
      <w:szCs w:val="2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24"/>
    </w:rPr>
  </w:style>
  <w:style w:type="paragraph" w:customStyle="1" w:styleId="xl541">
    <w:name w:val="xl5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8">
    <w:name w:val="font8"/>
    <w:basedOn w:val="a"/>
    <w:pPr>
      <w:widowControl/>
      <w:spacing w:before="100" w:beforeAutospacing="1" w:after="100" w:afterAutospacing="1"/>
      <w:jc w:val="left"/>
    </w:pPr>
    <w:rPr>
      <w:rFonts w:ascii="宋体" w:hAnsi="宋体" w:cs="Arial Unicode MS" w:hint="eastAsia"/>
      <w:color w:val="FF0000"/>
      <w:kern w:val="0"/>
      <w:sz w:val="24"/>
    </w:rPr>
  </w:style>
  <w:style w:type="paragraph" w:customStyle="1" w:styleId="xl574">
    <w:name w:val="xl5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45">
    <w:name w:val="xl5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71">
    <w:name w:val="xl5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8">
    <w:name w:val="xl538"/>
    <w:basedOn w:val="a"/>
    <w:pPr>
      <w:widowControl/>
      <w:spacing w:before="100" w:beforeAutospacing="1" w:after="100" w:afterAutospacing="1"/>
      <w:jc w:val="left"/>
      <w:textAlignment w:val="bottom"/>
    </w:pPr>
    <w:rPr>
      <w:rFonts w:ascii="宋体" w:hAnsi="宋体" w:cs="宋体"/>
      <w:kern w:val="0"/>
      <w:sz w:val="20"/>
      <w:szCs w:val="20"/>
    </w:rPr>
  </w:style>
  <w:style w:type="paragraph" w:customStyle="1" w:styleId="xl569">
    <w:name w:val="xl5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565">
    <w:name w:val="xl5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48">
    <w:name w:val="_Style 48"/>
    <w:basedOn w:val="a"/>
    <w:next w:val="21"/>
    <w:pPr>
      <w:adjustRightInd w:val="0"/>
      <w:snapToGrid w:val="0"/>
      <w:spacing w:line="300" w:lineRule="auto"/>
      <w:ind w:firstLineChars="300" w:firstLine="630"/>
    </w:pPr>
    <w:rPr>
      <w:snapToGrid w:val="0"/>
      <w:kern w:val="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535">
    <w:name w:val="xl535"/>
    <w:basedOn w:val="a"/>
    <w:pPr>
      <w:widowControl/>
      <w:spacing w:before="100" w:beforeAutospacing="1" w:after="100" w:afterAutospacing="1"/>
      <w:jc w:val="left"/>
    </w:pPr>
    <w:rPr>
      <w:rFonts w:ascii="宋体" w:hAnsi="宋体" w:cs="宋体"/>
      <w:kern w:val="0"/>
      <w:sz w:val="20"/>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75">
    <w:name w:val="xl575"/>
    <w:basedOn w:val="a"/>
    <w:pPr>
      <w:widowControl/>
      <w:spacing w:before="100" w:beforeAutospacing="1" w:after="100" w:afterAutospacing="1"/>
      <w:jc w:val="left"/>
      <w:textAlignment w:val="bottom"/>
    </w:pPr>
    <w:rPr>
      <w:rFonts w:ascii="宋体" w:hAnsi="宋体" w:cs="宋体"/>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549">
    <w:name w:val="xl5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4"/>
    </w:rPr>
  </w:style>
  <w:style w:type="paragraph" w:customStyle="1" w:styleId="xl540">
    <w:name w:val="xl540"/>
    <w:basedOn w:val="a"/>
    <w:pPr>
      <w:widowControl/>
      <w:spacing w:before="100" w:beforeAutospacing="1" w:after="100" w:afterAutospacing="1"/>
      <w:jc w:val="left"/>
    </w:pPr>
    <w:rPr>
      <w:rFonts w:ascii="宋体" w:hAnsi="宋体" w:cs="宋体"/>
      <w:kern w:val="0"/>
      <w:sz w:val="20"/>
      <w:szCs w:val="20"/>
    </w:rPr>
  </w:style>
  <w:style w:type="paragraph" w:customStyle="1" w:styleId="p9">
    <w:name w:val="p9"/>
    <w:basedOn w:val="a"/>
    <w:pPr>
      <w:widowControl/>
      <w:spacing w:before="100" w:beforeAutospacing="1" w:after="100" w:afterAutospacing="1"/>
      <w:jc w:val="left"/>
    </w:pPr>
    <w:rPr>
      <w:rFonts w:eastAsia="Arial Unicode MS" w:cs="Arial Unicode MS"/>
      <w:color w:val="000000"/>
      <w:kern w:val="0"/>
      <w:sz w:val="18"/>
      <w:szCs w:val="18"/>
    </w:rPr>
  </w:style>
  <w:style w:type="paragraph" w:customStyle="1" w:styleId="xl539">
    <w:name w:val="xl539"/>
    <w:basedOn w:val="a"/>
    <w:pPr>
      <w:widowControl/>
      <w:spacing w:before="100" w:beforeAutospacing="1" w:after="100" w:afterAutospacing="1"/>
      <w:jc w:val="left"/>
    </w:pPr>
    <w:rPr>
      <w:rFonts w:ascii="宋体" w:hAnsi="宋体" w:cs="宋体"/>
      <w:kern w:val="0"/>
      <w:sz w:val="20"/>
      <w:szCs w:val="20"/>
    </w:rPr>
  </w:style>
  <w:style w:type="paragraph" w:customStyle="1" w:styleId="xl573">
    <w:name w:val="xl5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afd">
    <w:name w:val="表格文字"/>
    <w:basedOn w:val="a"/>
    <w:pPr>
      <w:spacing w:before="25" w:after="25"/>
    </w:pPr>
    <w:rPr>
      <w:bCs/>
      <w:spacing w:val="10"/>
      <w:sz w:val="24"/>
    </w:rPr>
  </w:style>
  <w:style w:type="paragraph" w:customStyle="1" w:styleId="xl556">
    <w:name w:val="xl5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54">
    <w:name w:val="xl5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70">
    <w:name w:val="xl5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4">
    <w:name w:val="1"/>
    <w:basedOn w:val="a"/>
    <w:next w:val="aa"/>
    <w:rPr>
      <w:rFonts w:ascii="宋体" w:hAnsi="Courier New"/>
      <w:szCs w:val="20"/>
    </w:rPr>
  </w:style>
  <w:style w:type="paragraph" w:customStyle="1" w:styleId="xl542">
    <w:name w:val="xl5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568">
    <w:name w:val="xl5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60">
    <w:name w:val="xl5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2">
    <w:name w:val="xl5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564">
    <w:name w:val="xl5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66">
    <w:name w:val="xl5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9">
    <w:name w:val="xl5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67">
    <w:name w:val="xl5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afe">
    <w:name w:val="图"/>
    <w:basedOn w:val="a"/>
    <w:qFormat/>
    <w:pPr>
      <w:keepNext/>
      <w:adjustRightInd w:val="0"/>
      <w:spacing w:before="60" w:after="60" w:line="300" w:lineRule="auto"/>
      <w:jc w:val="center"/>
      <w:textAlignment w:val="center"/>
    </w:pPr>
    <w:rPr>
      <w:snapToGrid w:val="0"/>
      <w:spacing w:val="20"/>
      <w:sz w:val="24"/>
    </w:rPr>
  </w:style>
  <w:style w:type="paragraph" w:customStyle="1" w:styleId="xl572">
    <w:name w:val="xl572"/>
    <w:basedOn w:val="a"/>
    <w:pPr>
      <w:widowControl/>
      <w:spacing w:before="100" w:beforeAutospacing="1" w:after="100" w:afterAutospacing="1"/>
      <w:jc w:val="left"/>
      <w:textAlignment w:val="bottom"/>
    </w:pPr>
    <w:rPr>
      <w:rFonts w:ascii="宋体" w:hAnsi="宋体" w:cs="宋体"/>
      <w:color w:val="FF0000"/>
      <w:kern w:val="0"/>
      <w:sz w:val="20"/>
      <w:szCs w:val="20"/>
    </w:rPr>
  </w:style>
  <w:style w:type="paragraph" w:customStyle="1" w:styleId="Char2CharChar">
    <w:name w:val="Char2 Char Char"/>
    <w:basedOn w:val="a"/>
    <w:pPr>
      <w:widowControl/>
      <w:jc w:val="left"/>
    </w:pPr>
    <w:rPr>
      <w:kern w:val="0"/>
      <w:szCs w:val="20"/>
    </w:rPr>
  </w:style>
  <w:style w:type="table" w:customStyle="1" w:styleId="15">
    <w:name w:val="网格型1"/>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42795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1692</Words>
  <Characters>9649</Characters>
  <Application>Microsoft Office Word</Application>
  <DocSecurity>0</DocSecurity>
  <Lines>80</Lines>
  <Paragraphs>22</Paragraphs>
  <ScaleCrop>false</ScaleCrop>
  <Company>深圳市同立方科技有限公司</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liubl</dc:creator>
  <cp:lastModifiedBy>9973403@qq.com</cp:lastModifiedBy>
  <cp:revision>66</cp:revision>
  <cp:lastPrinted>2020-06-23T01:48:00Z</cp:lastPrinted>
  <dcterms:created xsi:type="dcterms:W3CDTF">2020-05-18T01:59:00Z</dcterms:created>
  <dcterms:modified xsi:type="dcterms:W3CDTF">2020-07-24T11:10:00Z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