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jc w:val="center"/>
        <w:outlineLvl w:val="2"/>
        <w:rPr>
          <w:rStyle w:val="9"/>
          <w:b/>
          <w:sz w:val="32"/>
          <w:szCs w:val="32"/>
        </w:rPr>
      </w:pPr>
      <w:r>
        <w:rPr>
          <w:rStyle w:val="9"/>
          <w:rFonts w:hint="eastAsia"/>
          <w:b/>
          <w:sz w:val="32"/>
          <w:szCs w:val="32"/>
        </w:rPr>
        <w:t>实验室危险废物全流程处理服务用户需求书</w:t>
      </w:r>
    </w:p>
    <w:p>
      <w:pPr>
        <w:spacing w:before="312" w:beforeLines="100" w:after="156" w:afterLines="50"/>
        <w:outlineLvl w:val="2"/>
        <w:rPr>
          <w:rStyle w:val="9"/>
          <w:b/>
        </w:rPr>
      </w:pPr>
      <w:r>
        <w:rPr>
          <w:rStyle w:val="9"/>
          <w:rFonts w:hint="eastAsia"/>
          <w:b/>
        </w:rPr>
        <w:t>一、项目概况</w:t>
      </w:r>
    </w:p>
    <w:p>
      <w:pPr>
        <w:ind w:firstLine="480" w:firstLineChars="200"/>
        <w:rPr>
          <w:rStyle w:val="9"/>
          <w:szCs w:val="21"/>
        </w:rPr>
      </w:pPr>
      <w:r>
        <w:rPr>
          <w:rStyle w:val="9"/>
          <w:rFonts w:hint="eastAsia"/>
          <w:szCs w:val="21"/>
        </w:rPr>
        <w:t>学校原SMT实训室过孔电镀设备的废液现存放在固字楼110仓库。根据《中华人民共和国环境保护法》以及其他环境保护法律、法规的规定，危险废物不得随意排放、弃置或者转移，应集中处理。为此，现需委托供应商对该批废液进行分类处理、运输、处置等全流程的处理服务。</w:t>
      </w:r>
    </w:p>
    <w:p>
      <w:pPr>
        <w:spacing w:before="312" w:beforeLines="100" w:after="156" w:afterLines="50"/>
        <w:outlineLvl w:val="2"/>
        <w:rPr>
          <w:rStyle w:val="9"/>
          <w:b/>
        </w:rPr>
      </w:pPr>
      <w:r>
        <w:rPr>
          <w:rStyle w:val="9"/>
          <w:rFonts w:hint="eastAsia"/>
          <w:b/>
        </w:rPr>
        <w:t>二、</w:t>
      </w:r>
      <w:r>
        <w:rPr>
          <w:rStyle w:val="9"/>
          <w:b/>
        </w:rPr>
        <w:t>供应商</w:t>
      </w:r>
      <w:r>
        <w:rPr>
          <w:rStyle w:val="9"/>
          <w:rFonts w:hint="eastAsia"/>
          <w:b/>
        </w:rPr>
        <w:t>资格</w:t>
      </w:r>
    </w:p>
    <w:p>
      <w:pPr>
        <w:ind w:firstLine="480" w:firstLineChars="200"/>
        <w:rPr>
          <w:rStyle w:val="9"/>
          <w:szCs w:val="21"/>
        </w:rPr>
      </w:pPr>
      <w:r>
        <w:rPr>
          <w:rStyle w:val="9"/>
          <w:rFonts w:hint="eastAsia"/>
          <w:szCs w:val="21"/>
        </w:rPr>
        <w:t>供应商应为《广东省教育厅办公室关于2020-2021年度广东省教育部门政府采购协议供货事项的通知》中实验室危险废物全流程处理服务的供应商。（提交有效的营业执照或事业单位法人证书等类似证明复印件并加盖公章。）</w:t>
      </w:r>
    </w:p>
    <w:p>
      <w:pPr>
        <w:spacing w:before="312" w:beforeLines="100" w:after="156" w:afterLines="50"/>
        <w:outlineLvl w:val="2"/>
        <w:rPr>
          <w:rStyle w:val="9"/>
          <w:b/>
        </w:rPr>
      </w:pPr>
      <w:r>
        <w:rPr>
          <w:rStyle w:val="9"/>
          <w:rFonts w:hint="eastAsia"/>
          <w:b/>
        </w:rPr>
        <w:t>三、SMT实训室过孔电镀设备废液清单</w:t>
      </w:r>
    </w:p>
    <w:tbl>
      <w:tblPr>
        <w:tblStyle w:val="5"/>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49"/>
        <w:gridCol w:w="1038"/>
        <w:gridCol w:w="903"/>
        <w:gridCol w:w="1317"/>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387" w:type="pct"/>
            <w:vMerge w:val="restar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序号</w:t>
            </w:r>
          </w:p>
        </w:tc>
        <w:tc>
          <w:tcPr>
            <w:tcW w:w="1056" w:type="pct"/>
            <w:vMerge w:val="restar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样品名称</w:t>
            </w:r>
          </w:p>
        </w:tc>
        <w:tc>
          <w:tcPr>
            <w:tcW w:w="627" w:type="pct"/>
            <w:vMerge w:val="restar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包装规格</w:t>
            </w:r>
          </w:p>
        </w:tc>
        <w:tc>
          <w:tcPr>
            <w:tcW w:w="544" w:type="pct"/>
            <w:vMerge w:val="restar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样品颜色</w:t>
            </w:r>
          </w:p>
        </w:tc>
        <w:tc>
          <w:tcPr>
            <w:tcW w:w="795" w:type="pct"/>
            <w:vMerge w:val="restar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重量（单位：千克）</w:t>
            </w:r>
          </w:p>
        </w:tc>
        <w:tc>
          <w:tcPr>
            <w:tcW w:w="1590" w:type="pct"/>
            <w:vMerge w:val="restar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vMerge w:val="continue"/>
            <w:vAlign w:val="center"/>
          </w:tcPr>
          <w:p>
            <w:pPr>
              <w:widowControl/>
              <w:spacing w:line="240" w:lineRule="auto"/>
              <w:jc w:val="center"/>
              <w:rPr>
                <w:rFonts w:ascii="宋体" w:hAnsi="宋体" w:cs="宋体"/>
                <w:kern w:val="0"/>
                <w:sz w:val="22"/>
                <w:szCs w:val="22"/>
              </w:rPr>
            </w:pPr>
          </w:p>
        </w:tc>
        <w:tc>
          <w:tcPr>
            <w:tcW w:w="1056" w:type="pct"/>
            <w:vMerge w:val="continue"/>
            <w:vAlign w:val="center"/>
          </w:tcPr>
          <w:p>
            <w:pPr>
              <w:widowControl/>
              <w:spacing w:line="240" w:lineRule="auto"/>
              <w:jc w:val="center"/>
              <w:rPr>
                <w:rFonts w:ascii="宋体" w:hAnsi="宋体" w:cs="宋体"/>
                <w:kern w:val="0"/>
                <w:sz w:val="22"/>
                <w:szCs w:val="22"/>
              </w:rPr>
            </w:pPr>
          </w:p>
        </w:tc>
        <w:tc>
          <w:tcPr>
            <w:tcW w:w="627" w:type="pct"/>
            <w:vMerge w:val="continue"/>
            <w:vAlign w:val="center"/>
          </w:tcPr>
          <w:p>
            <w:pPr>
              <w:widowControl/>
              <w:spacing w:line="240" w:lineRule="auto"/>
              <w:jc w:val="center"/>
              <w:rPr>
                <w:rFonts w:ascii="宋体" w:hAnsi="宋体" w:cs="宋体"/>
                <w:kern w:val="0"/>
                <w:sz w:val="22"/>
                <w:szCs w:val="22"/>
              </w:rPr>
            </w:pPr>
          </w:p>
        </w:tc>
        <w:tc>
          <w:tcPr>
            <w:tcW w:w="544" w:type="pct"/>
            <w:vMerge w:val="continue"/>
            <w:vAlign w:val="center"/>
          </w:tcPr>
          <w:p>
            <w:pPr>
              <w:widowControl/>
              <w:spacing w:line="240" w:lineRule="auto"/>
              <w:jc w:val="center"/>
              <w:rPr>
                <w:rFonts w:ascii="宋体" w:hAnsi="宋体" w:cs="宋体"/>
                <w:kern w:val="0"/>
                <w:sz w:val="22"/>
                <w:szCs w:val="22"/>
              </w:rPr>
            </w:pPr>
          </w:p>
        </w:tc>
        <w:tc>
          <w:tcPr>
            <w:tcW w:w="795" w:type="pct"/>
            <w:vMerge w:val="continue"/>
            <w:vAlign w:val="center"/>
          </w:tcPr>
          <w:p>
            <w:pPr>
              <w:widowControl/>
              <w:spacing w:line="240" w:lineRule="auto"/>
              <w:jc w:val="center"/>
              <w:rPr>
                <w:rFonts w:ascii="宋体" w:hAnsi="宋体" w:cs="宋体"/>
                <w:kern w:val="0"/>
                <w:sz w:val="22"/>
                <w:szCs w:val="22"/>
              </w:rPr>
            </w:pPr>
          </w:p>
        </w:tc>
        <w:tc>
          <w:tcPr>
            <w:tcW w:w="1590" w:type="pct"/>
            <w:vMerge w:val="continue"/>
            <w:vAlign w:val="center"/>
          </w:tcPr>
          <w:p>
            <w:pPr>
              <w:widowControl/>
              <w:spacing w:line="240" w:lineRule="auto"/>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w:t>
            </w:r>
          </w:p>
        </w:tc>
        <w:tc>
          <w:tcPr>
            <w:tcW w:w="1056"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沉铜</w:t>
            </w:r>
            <w:r>
              <w:rPr>
                <w:rFonts w:ascii="宋体" w:cs="宋体"/>
                <w:kern w:val="0"/>
                <w:sz w:val="22"/>
                <w:szCs w:val="22"/>
              </w:rPr>
              <w:t>A</w:t>
            </w:r>
            <w:r>
              <w:rPr>
                <w:rFonts w:hint="eastAsia" w:ascii="宋体" w:cs="宋体"/>
                <w:kern w:val="0"/>
                <w:sz w:val="22"/>
                <w:szCs w:val="22"/>
              </w:rPr>
              <w:t>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蓝色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5</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381125" cy="1743075"/>
                  <wp:effectExtent l="0" t="0" r="9525" b="9525"/>
                  <wp:docPr id="7" name="图片 7" descr="C:\Users\Administrator\Desktop\新建文件夹\IMG_20200807_09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建文件夹\IMG_20200807_0959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81125" cy="1743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w:t>
            </w:r>
          </w:p>
        </w:tc>
        <w:tc>
          <w:tcPr>
            <w:tcW w:w="1056"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无名</w:t>
            </w:r>
            <w:r>
              <w:rPr>
                <w:rFonts w:ascii="宋体" w:cs="宋体"/>
                <w:kern w:val="0"/>
                <w:sz w:val="22"/>
                <w:szCs w:val="22"/>
              </w:rPr>
              <w:t>A</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浑浊绿色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8</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drawing>
                <wp:inline distT="0" distB="0" distL="0" distR="0">
                  <wp:extent cx="1340485" cy="15373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40485" cy="153733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3</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酸去油原液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透明蓝色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9</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drawing>
                <wp:inline distT="0" distB="0" distL="0" distR="0">
                  <wp:extent cx="1280160" cy="154178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80160" cy="154178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4</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孔粗代工作液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247775" cy="1647825"/>
                  <wp:effectExtent l="0" t="0" r="9525" b="9525"/>
                  <wp:docPr id="6" name="图片 6" descr="C:\Users\Administrator\Desktop\新建文件夹\IMG_20200807_09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建文件夹\IMG_20200807_0957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7775" cy="1647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5</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钯液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透明绿色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295400" cy="1800225"/>
                  <wp:effectExtent l="0" t="0" r="0" b="9525"/>
                  <wp:docPr id="5" name="图片 5" descr="C:\Users\Administrator\Desktop\新建文件夹\IMG_20200807_095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建文件夹\IMG_20200807_0958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400" cy="18002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6</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预浸工作液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10</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295400" cy="1666875"/>
                  <wp:effectExtent l="0" t="0" r="0" b="9525"/>
                  <wp:docPr id="4" name="图片 4" descr="C:\Users\Administrator\Desktop\新建文件夹\IMG_20200807_10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建文件夹\IMG_20200807_1000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6668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7</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加速工作液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12</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hAnsi="宋体" w:cs="宋体"/>
                <w:kern w:val="0"/>
                <w:sz w:val="22"/>
                <w:szCs w:val="22"/>
              </w:rPr>
              <w:drawing>
                <wp:inline distT="0" distB="0" distL="0" distR="0">
                  <wp:extent cx="1249045" cy="160528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49045" cy="160528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8</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镀锡液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棕色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23</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295400" cy="1885950"/>
                  <wp:effectExtent l="0" t="0" r="0" b="0"/>
                  <wp:docPr id="3" name="图片 3" descr="C:\Users\Administrator\Desktop\新建文件夹\IMG_20200807_1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IMG_20200807_100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95400" cy="1885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9</w:t>
            </w:r>
          </w:p>
        </w:tc>
        <w:tc>
          <w:tcPr>
            <w:tcW w:w="1056"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蚀刻液</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深蓝色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5</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590675" cy="2000250"/>
                  <wp:effectExtent l="0" t="0" r="9525" b="0"/>
                  <wp:docPr id="2" name="图片 2" descr="C:\Users\Administrator\Desktop\新建文件夹\IMG_20200807_10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建文件夹\IMG_20200807_1001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90675" cy="2000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7"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10</w:t>
            </w:r>
          </w:p>
        </w:tc>
        <w:tc>
          <w:tcPr>
            <w:tcW w:w="1056"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无名</w:t>
            </w:r>
            <w:r>
              <w:rPr>
                <w:rFonts w:ascii="宋体" w:cs="宋体"/>
                <w:kern w:val="0"/>
                <w:sz w:val="22"/>
                <w:szCs w:val="22"/>
              </w:rPr>
              <w:t>B</w:t>
            </w:r>
          </w:p>
        </w:tc>
        <w:tc>
          <w:tcPr>
            <w:tcW w:w="627"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桶装</w:t>
            </w:r>
          </w:p>
        </w:tc>
        <w:tc>
          <w:tcPr>
            <w:tcW w:w="544" w:type="pct"/>
            <w:shd w:val="clear" w:color="auto" w:fill="auto"/>
            <w:noWrap/>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无色</w:t>
            </w:r>
          </w:p>
        </w:tc>
        <w:tc>
          <w:tcPr>
            <w:tcW w:w="795" w:type="pct"/>
            <w:shd w:val="clear" w:color="auto" w:fill="auto"/>
            <w:vAlign w:val="center"/>
          </w:tcPr>
          <w:p>
            <w:pPr>
              <w:widowControl/>
              <w:spacing w:line="240" w:lineRule="auto"/>
              <w:jc w:val="center"/>
              <w:rPr>
                <w:rFonts w:ascii="宋体" w:hAnsi="宋体" w:cs="宋体"/>
                <w:kern w:val="0"/>
                <w:sz w:val="22"/>
                <w:szCs w:val="22"/>
              </w:rPr>
            </w:pPr>
            <w:r>
              <w:rPr>
                <w:rFonts w:hint="eastAsia" w:ascii="宋体" w:cs="宋体"/>
                <w:kern w:val="0"/>
                <w:sz w:val="22"/>
                <w:szCs w:val="22"/>
              </w:rPr>
              <w:t>3</w:t>
            </w:r>
          </w:p>
        </w:tc>
        <w:tc>
          <w:tcPr>
            <w:tcW w:w="1590" w:type="pct"/>
            <w:shd w:val="clear" w:color="auto" w:fill="auto"/>
            <w:noWrap/>
            <w:vAlign w:val="center"/>
          </w:tcPr>
          <w:p>
            <w:pPr>
              <w:widowControl/>
              <w:spacing w:line="240" w:lineRule="auto"/>
              <w:jc w:val="center"/>
              <w:rPr>
                <w:rFonts w:ascii="宋体" w:hAnsi="宋体" w:cs="宋体"/>
                <w:kern w:val="0"/>
                <w:sz w:val="22"/>
                <w:szCs w:val="22"/>
              </w:rPr>
            </w:pPr>
            <w:r>
              <w:rPr>
                <w:rFonts w:ascii="宋体" w:cs="宋体"/>
                <w:kern w:val="0"/>
                <w:sz w:val="22"/>
                <w:szCs w:val="22"/>
              </w:rPr>
              <w:drawing>
                <wp:inline distT="0" distB="0" distL="0" distR="0">
                  <wp:extent cx="1095375" cy="2038350"/>
                  <wp:effectExtent l="0" t="0" r="9525" b="0"/>
                  <wp:docPr id="1" name="图片 1" descr="C:\Users\Administrator\Desktop\新建文件夹\IMG_20200807_095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建文件夹\IMG_20200807_09595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95375" cy="2038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15" w:type="pct"/>
            <w:gridSpan w:val="4"/>
            <w:shd w:val="clear" w:color="auto" w:fill="auto"/>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合计</w:t>
            </w:r>
          </w:p>
        </w:tc>
        <w:tc>
          <w:tcPr>
            <w:tcW w:w="795" w:type="pct"/>
            <w:shd w:val="clear" w:color="auto" w:fill="auto"/>
            <w:vAlign w:val="center"/>
          </w:tcPr>
          <w:p>
            <w:pPr>
              <w:widowControl/>
              <w:spacing w:line="240" w:lineRule="auto"/>
              <w:jc w:val="center"/>
              <w:rPr>
                <w:rFonts w:ascii="宋体" w:hAnsi="宋体" w:cs="宋体"/>
                <w:kern w:val="0"/>
                <w:sz w:val="22"/>
                <w:szCs w:val="22"/>
              </w:rPr>
            </w:pPr>
          </w:p>
        </w:tc>
        <w:tc>
          <w:tcPr>
            <w:tcW w:w="1590" w:type="pct"/>
            <w:shd w:val="clear" w:color="auto" w:fill="auto"/>
            <w:noWrap/>
            <w:vAlign w:val="center"/>
          </w:tcPr>
          <w:p>
            <w:pPr>
              <w:widowControl/>
              <w:spacing w:line="240" w:lineRule="auto"/>
              <w:jc w:val="center"/>
              <w:rPr>
                <w:rFonts w:ascii="宋体" w:hAnsi="宋体" w:cs="宋体"/>
                <w:kern w:val="0"/>
                <w:sz w:val="22"/>
                <w:szCs w:val="22"/>
              </w:rPr>
            </w:pPr>
          </w:p>
        </w:tc>
      </w:tr>
    </w:tbl>
    <w:p>
      <w:pPr>
        <w:spacing w:before="312" w:beforeLines="100" w:after="156" w:afterLines="50"/>
        <w:outlineLvl w:val="2"/>
        <w:rPr>
          <w:rStyle w:val="9"/>
          <w:b/>
        </w:rPr>
      </w:pPr>
      <w:r>
        <w:rPr>
          <w:rStyle w:val="9"/>
          <w:rFonts w:hint="eastAsia"/>
          <w:b/>
        </w:rPr>
        <w:t>四、</w:t>
      </w:r>
      <w:r>
        <w:rPr>
          <w:rStyle w:val="9"/>
          <w:b/>
        </w:rPr>
        <w:t>服务要求</w:t>
      </w:r>
    </w:p>
    <w:p>
      <w:pPr>
        <w:rPr>
          <w:rStyle w:val="9"/>
          <w:szCs w:val="21"/>
        </w:rPr>
      </w:pPr>
      <w:r>
        <w:rPr>
          <w:rStyle w:val="9"/>
          <w:szCs w:val="21"/>
        </w:rPr>
        <w:t>1.分类处理服务要求（现场作业）</w:t>
      </w:r>
    </w:p>
    <w:p>
      <w:pPr>
        <w:rPr>
          <w:rStyle w:val="9"/>
          <w:szCs w:val="21"/>
        </w:rPr>
      </w:pPr>
      <w:r>
        <w:rPr>
          <w:rStyle w:val="9"/>
          <w:szCs w:val="21"/>
        </w:rPr>
        <w:t>（1）现场拆除，清理分拣；</w:t>
      </w:r>
    </w:p>
    <w:p>
      <w:pPr>
        <w:rPr>
          <w:rStyle w:val="9"/>
          <w:szCs w:val="21"/>
        </w:rPr>
      </w:pPr>
      <w:r>
        <w:rPr>
          <w:rStyle w:val="9"/>
          <w:szCs w:val="21"/>
        </w:rPr>
        <w:t>（2）标准分类，规范包装；</w:t>
      </w:r>
    </w:p>
    <w:p>
      <w:pPr>
        <w:rPr>
          <w:rStyle w:val="9"/>
          <w:szCs w:val="21"/>
        </w:rPr>
      </w:pPr>
      <w:r>
        <w:rPr>
          <w:rStyle w:val="9"/>
          <w:szCs w:val="21"/>
        </w:rPr>
        <w:t>（3）检验检测预处理，定性分析；</w:t>
      </w:r>
    </w:p>
    <w:p>
      <w:pPr>
        <w:rPr>
          <w:rStyle w:val="9"/>
          <w:szCs w:val="21"/>
        </w:rPr>
      </w:pPr>
      <w:r>
        <w:rPr>
          <w:rStyle w:val="9"/>
          <w:szCs w:val="21"/>
        </w:rPr>
        <w:t>（4）标识标志，分区存储，制定清单。</w:t>
      </w:r>
    </w:p>
    <w:p>
      <w:pPr>
        <w:rPr>
          <w:rStyle w:val="9"/>
          <w:szCs w:val="21"/>
        </w:rPr>
      </w:pPr>
      <w:r>
        <w:rPr>
          <w:rStyle w:val="9"/>
          <w:szCs w:val="21"/>
        </w:rPr>
        <w:t>2.转移申报</w:t>
      </w:r>
    </w:p>
    <w:p>
      <w:pPr>
        <w:rPr>
          <w:rStyle w:val="9"/>
          <w:szCs w:val="21"/>
        </w:rPr>
      </w:pPr>
      <w:r>
        <w:rPr>
          <w:rStyle w:val="9"/>
          <w:szCs w:val="21"/>
        </w:rPr>
        <w:t>（1）指导用户进行广东省固体废物信息管理平台注册和激活；</w:t>
      </w:r>
    </w:p>
    <w:p>
      <w:pPr>
        <w:rPr>
          <w:rStyle w:val="9"/>
          <w:szCs w:val="21"/>
        </w:rPr>
      </w:pPr>
      <w:r>
        <w:rPr>
          <w:rStyle w:val="9"/>
          <w:szCs w:val="21"/>
        </w:rPr>
        <w:t>（2）协助用户准备转移申报材料</w:t>
      </w:r>
    </w:p>
    <w:p>
      <w:pPr>
        <w:rPr>
          <w:rStyle w:val="9"/>
          <w:szCs w:val="21"/>
        </w:rPr>
      </w:pPr>
      <w:r>
        <w:rPr>
          <w:rStyle w:val="9"/>
          <w:szCs w:val="21"/>
        </w:rPr>
        <w:t>（3）进行转移计划申报及车辆转移路线上报</w:t>
      </w:r>
    </w:p>
    <w:p>
      <w:pPr>
        <w:rPr>
          <w:rStyle w:val="9"/>
          <w:szCs w:val="21"/>
        </w:rPr>
      </w:pPr>
      <w:r>
        <w:rPr>
          <w:rStyle w:val="9"/>
          <w:szCs w:val="21"/>
        </w:rPr>
        <w:t>（4）进行危险废物转移电子联单申请及盖章</w:t>
      </w:r>
    </w:p>
    <w:p>
      <w:pPr>
        <w:rPr>
          <w:rStyle w:val="9"/>
          <w:szCs w:val="21"/>
        </w:rPr>
      </w:pPr>
      <w:r>
        <w:rPr>
          <w:rStyle w:val="9"/>
          <w:szCs w:val="21"/>
        </w:rPr>
        <w:t>（5）其他有关信息申报</w:t>
      </w:r>
    </w:p>
    <w:p>
      <w:pPr>
        <w:rPr>
          <w:rStyle w:val="9"/>
          <w:szCs w:val="21"/>
        </w:rPr>
      </w:pPr>
      <w:r>
        <w:rPr>
          <w:rStyle w:val="9"/>
          <w:szCs w:val="21"/>
        </w:rPr>
        <w:t>3.相关材料及记录</w:t>
      </w:r>
    </w:p>
    <w:p>
      <w:pPr>
        <w:rPr>
          <w:rStyle w:val="9"/>
          <w:szCs w:val="21"/>
        </w:rPr>
      </w:pPr>
      <w:r>
        <w:rPr>
          <w:rStyle w:val="9"/>
          <w:szCs w:val="21"/>
        </w:rPr>
        <w:t>（1）现场重要节点的影像纪录；</w:t>
      </w:r>
    </w:p>
    <w:p>
      <w:pPr>
        <w:rPr>
          <w:rStyle w:val="9"/>
          <w:szCs w:val="21"/>
        </w:rPr>
      </w:pPr>
      <w:r>
        <w:rPr>
          <w:rStyle w:val="9"/>
          <w:szCs w:val="21"/>
        </w:rPr>
        <w:t>（2）电子联单录入及网站记录；</w:t>
      </w:r>
    </w:p>
    <w:p>
      <w:pPr>
        <w:rPr>
          <w:rStyle w:val="9"/>
          <w:szCs w:val="21"/>
        </w:rPr>
      </w:pPr>
      <w:r>
        <w:rPr>
          <w:rStyle w:val="9"/>
          <w:szCs w:val="21"/>
        </w:rPr>
        <w:t>（3）危运车辆行车GPRS轨迹线记录；</w:t>
      </w:r>
    </w:p>
    <w:p>
      <w:pPr>
        <w:rPr>
          <w:rStyle w:val="9"/>
          <w:szCs w:val="21"/>
        </w:rPr>
      </w:pPr>
      <w:r>
        <w:rPr>
          <w:rStyle w:val="9"/>
          <w:szCs w:val="21"/>
        </w:rPr>
        <w:t>（4）有关管理部门针对合同废物转移的批复意见函；</w:t>
      </w:r>
    </w:p>
    <w:p>
      <w:pPr>
        <w:rPr>
          <w:rStyle w:val="9"/>
          <w:szCs w:val="21"/>
        </w:rPr>
      </w:pPr>
      <w:r>
        <w:rPr>
          <w:rStyle w:val="9"/>
          <w:szCs w:val="21"/>
        </w:rPr>
        <w:t>（5）有关管理部门针对合同废物转移的接收意见函；</w:t>
      </w:r>
    </w:p>
    <w:p>
      <w:pPr>
        <w:rPr>
          <w:rStyle w:val="9"/>
          <w:szCs w:val="21"/>
        </w:rPr>
      </w:pPr>
      <w:r>
        <w:rPr>
          <w:rStyle w:val="9"/>
          <w:szCs w:val="21"/>
        </w:rPr>
        <w:t>（6）有关管理部门对合同废物转移的审批计划指导意见。</w:t>
      </w:r>
    </w:p>
    <w:p>
      <w:pPr>
        <w:rPr>
          <w:rStyle w:val="9"/>
          <w:szCs w:val="21"/>
        </w:rPr>
      </w:pPr>
      <w:r>
        <w:rPr>
          <w:rStyle w:val="9"/>
          <w:szCs w:val="21"/>
        </w:rPr>
        <w:t>4.转移运输处置服务</w:t>
      </w:r>
    </w:p>
    <w:p>
      <w:pPr>
        <w:rPr>
          <w:rStyle w:val="9"/>
          <w:szCs w:val="21"/>
        </w:rPr>
      </w:pPr>
      <w:r>
        <w:rPr>
          <w:rStyle w:val="9"/>
          <w:szCs w:val="21"/>
        </w:rPr>
        <w:t>（1）提供或组织资质单位对合同约定废物进行运输。</w:t>
      </w:r>
    </w:p>
    <w:p>
      <w:pPr>
        <w:rPr>
          <w:rStyle w:val="9"/>
          <w:szCs w:val="21"/>
        </w:rPr>
      </w:pPr>
      <w:r>
        <w:rPr>
          <w:rStyle w:val="9"/>
          <w:szCs w:val="21"/>
        </w:rPr>
        <w:t>（2）危险废物转移联单盖章及邮寄；</w:t>
      </w:r>
    </w:p>
    <w:p>
      <w:pPr>
        <w:rPr>
          <w:rStyle w:val="9"/>
          <w:szCs w:val="21"/>
        </w:rPr>
      </w:pPr>
      <w:r>
        <w:rPr>
          <w:rStyle w:val="9"/>
          <w:szCs w:val="21"/>
        </w:rPr>
        <w:t>（3）如有剧毒品，需要出具销毁证明并提交相关部门；</w:t>
      </w:r>
    </w:p>
    <w:p>
      <w:pPr>
        <w:rPr>
          <w:rStyle w:val="9"/>
          <w:szCs w:val="21"/>
        </w:rPr>
      </w:pPr>
      <w:r>
        <w:rPr>
          <w:rStyle w:val="9"/>
          <w:szCs w:val="21"/>
        </w:rPr>
        <w:t>（4）与接收单位对接，并安排危险废物运输车辆转移运输及接车卸车安排；</w:t>
      </w:r>
    </w:p>
    <w:p>
      <w:pPr>
        <w:rPr>
          <w:rStyle w:val="9"/>
          <w:szCs w:val="21"/>
        </w:rPr>
      </w:pPr>
      <w:r>
        <w:rPr>
          <w:rStyle w:val="9"/>
          <w:szCs w:val="21"/>
        </w:rPr>
        <w:t>（5）协调公安部门现场督办并提交销毁资料。</w:t>
      </w:r>
    </w:p>
    <w:p>
      <w:pPr>
        <w:rPr>
          <w:rStyle w:val="9"/>
          <w:szCs w:val="21"/>
        </w:rPr>
      </w:pPr>
      <w:r>
        <w:rPr>
          <w:rStyle w:val="9"/>
          <w:szCs w:val="21"/>
        </w:rPr>
        <w:t>5.售后服务</w:t>
      </w:r>
    </w:p>
    <w:p>
      <w:pPr>
        <w:rPr>
          <w:rStyle w:val="9"/>
          <w:szCs w:val="21"/>
        </w:rPr>
      </w:pPr>
      <w:r>
        <w:rPr>
          <w:rStyle w:val="9"/>
          <w:szCs w:val="21"/>
        </w:rPr>
        <w:t>（1）跟踪现场废物情况</w:t>
      </w:r>
    </w:p>
    <w:p>
      <w:pPr>
        <w:rPr>
          <w:rStyle w:val="9"/>
          <w:szCs w:val="21"/>
        </w:rPr>
      </w:pPr>
      <w:r>
        <w:rPr>
          <w:rStyle w:val="9"/>
          <w:szCs w:val="21"/>
        </w:rPr>
        <w:t>（2）现场异常解决方案提供</w:t>
      </w:r>
    </w:p>
    <w:p>
      <w:pPr>
        <w:rPr>
          <w:rStyle w:val="9"/>
          <w:szCs w:val="21"/>
        </w:rPr>
      </w:pPr>
      <w:r>
        <w:rPr>
          <w:rStyle w:val="9"/>
          <w:szCs w:val="21"/>
        </w:rPr>
        <w:t>（3）暂存场所选址及定址技术咨询</w:t>
      </w:r>
    </w:p>
    <w:p>
      <w:pPr>
        <w:rPr>
          <w:rStyle w:val="9"/>
          <w:szCs w:val="21"/>
        </w:rPr>
      </w:pPr>
      <w:r>
        <w:rPr>
          <w:rStyle w:val="9"/>
          <w:szCs w:val="21"/>
        </w:rPr>
        <w:t>（4）实验室废物搬运方案和技术支持</w:t>
      </w:r>
    </w:p>
    <w:p>
      <w:pPr>
        <w:rPr>
          <w:rStyle w:val="9"/>
          <w:szCs w:val="21"/>
        </w:rPr>
      </w:pPr>
      <w:r>
        <w:rPr>
          <w:rStyle w:val="9"/>
          <w:szCs w:val="21"/>
        </w:rPr>
        <w:t>（5）实验室事故应急流程介绍</w:t>
      </w:r>
    </w:p>
    <w:p>
      <w:pPr>
        <w:rPr>
          <w:rStyle w:val="9"/>
          <w:szCs w:val="21"/>
        </w:rPr>
      </w:pPr>
      <w:r>
        <w:rPr>
          <w:rStyle w:val="9"/>
          <w:szCs w:val="21"/>
        </w:rPr>
        <w:t>（6）危险化学品现场管理培训</w:t>
      </w:r>
    </w:p>
    <w:p>
      <w:pPr>
        <w:spacing w:before="312" w:beforeLines="100" w:after="156" w:afterLines="50"/>
        <w:outlineLvl w:val="2"/>
        <w:rPr>
          <w:rStyle w:val="9"/>
          <w:rFonts w:hint="eastAsia" w:eastAsia="宋体"/>
          <w:b/>
          <w:lang w:eastAsia="zh-CN"/>
        </w:rPr>
      </w:pPr>
      <w:r>
        <w:rPr>
          <w:rStyle w:val="9"/>
          <w:rFonts w:hint="eastAsia"/>
          <w:b/>
        </w:rPr>
        <w:t>五、</w:t>
      </w:r>
      <w:r>
        <w:rPr>
          <w:rStyle w:val="9"/>
          <w:rFonts w:hint="eastAsia"/>
          <w:b/>
          <w:lang w:val="en-US" w:eastAsia="zh-CN"/>
        </w:rPr>
        <w:t>预算</w:t>
      </w:r>
    </w:p>
    <w:p>
      <w:pPr>
        <w:ind w:firstLine="480" w:firstLineChars="200"/>
        <w:rPr>
          <w:rStyle w:val="9"/>
          <w:rFonts w:hint="eastAsia" w:eastAsia="宋体"/>
          <w:szCs w:val="21"/>
          <w:lang w:eastAsia="zh-CN"/>
        </w:rPr>
      </w:pPr>
      <w:r>
        <w:rPr>
          <w:rStyle w:val="9"/>
          <w:rFonts w:hint="eastAsia"/>
          <w:szCs w:val="21"/>
        </w:rPr>
        <w:t>项目预算4.5万元</w:t>
      </w:r>
      <w:r>
        <w:rPr>
          <w:rStyle w:val="9"/>
          <w:rFonts w:hint="eastAsia"/>
          <w:szCs w:val="21"/>
          <w:lang w:eastAsia="zh-CN"/>
        </w:rPr>
        <w:t>。</w:t>
      </w:r>
    </w:p>
    <w:p>
      <w:pPr>
        <w:spacing w:before="312" w:beforeLines="100" w:after="156" w:afterLines="50"/>
        <w:outlineLvl w:val="2"/>
        <w:rPr>
          <w:rStyle w:val="9"/>
          <w:b/>
        </w:rPr>
      </w:pPr>
      <w:r>
        <w:rPr>
          <w:rStyle w:val="9"/>
          <w:rFonts w:hint="eastAsia"/>
          <w:b/>
          <w:lang w:val="en-US" w:eastAsia="zh-CN"/>
        </w:rPr>
        <w:t>六</w:t>
      </w:r>
      <w:r>
        <w:rPr>
          <w:rStyle w:val="9"/>
          <w:rFonts w:hint="eastAsia"/>
          <w:b/>
        </w:rPr>
        <w:t>、报价要求</w:t>
      </w:r>
    </w:p>
    <w:p>
      <w:pPr>
        <w:ind w:firstLine="480" w:firstLineChars="200"/>
        <w:rPr>
          <w:rStyle w:val="9"/>
          <w:szCs w:val="21"/>
        </w:rPr>
      </w:pPr>
      <w:r>
        <w:rPr>
          <w:rStyle w:val="9"/>
          <w:rFonts w:hint="eastAsia"/>
          <w:szCs w:val="21"/>
        </w:rPr>
        <w:t>报价应包含对该批废液进行分类处理、运输、处置等全流程的处理服务</w:t>
      </w:r>
      <w:r>
        <w:rPr>
          <w:rStyle w:val="9"/>
          <w:szCs w:val="21"/>
        </w:rPr>
        <w:t>及合同实施过程中不可预见的费用等，如供应商在项目实施过程中出现任何遗漏，均由供应商负责，</w:t>
      </w:r>
      <w:r>
        <w:rPr>
          <w:rStyle w:val="9"/>
          <w:rFonts w:hint="eastAsia"/>
          <w:szCs w:val="21"/>
          <w:lang w:val="en-US" w:eastAsia="zh-CN"/>
        </w:rPr>
        <w:t>学校</w:t>
      </w:r>
      <w:bookmarkStart w:id="0" w:name="_GoBack"/>
      <w:bookmarkEnd w:id="0"/>
      <w:r>
        <w:rPr>
          <w:rStyle w:val="9"/>
          <w:szCs w:val="21"/>
        </w:rPr>
        <w:t>不再支付任何费用。</w:t>
      </w:r>
    </w:p>
    <w:p>
      <w:pPr>
        <w:spacing w:before="312" w:beforeLines="100" w:after="156" w:afterLines="50"/>
        <w:outlineLvl w:val="1"/>
        <w:rPr>
          <w:rStyle w:val="9"/>
          <w:b/>
        </w:rPr>
      </w:pPr>
      <w:r>
        <w:rPr>
          <w:rStyle w:val="9"/>
          <w:rFonts w:hint="eastAsia"/>
          <w:b/>
          <w:lang w:val="en-US" w:eastAsia="zh-CN"/>
        </w:rPr>
        <w:t>七</w:t>
      </w:r>
      <w:r>
        <w:rPr>
          <w:rStyle w:val="9"/>
          <w:b/>
        </w:rPr>
        <w:t>、</w:t>
      </w:r>
      <w:r>
        <w:rPr>
          <w:rStyle w:val="9"/>
          <w:rFonts w:hint="eastAsia"/>
          <w:b/>
        </w:rPr>
        <w:t>供应商的确定</w:t>
      </w:r>
    </w:p>
    <w:p>
      <w:pPr>
        <w:ind w:firstLine="480" w:firstLineChars="200"/>
        <w:rPr>
          <w:rStyle w:val="9"/>
          <w:szCs w:val="21"/>
        </w:rPr>
      </w:pPr>
      <w:r>
        <w:rPr>
          <w:rStyle w:val="9"/>
          <w:rFonts w:hint="eastAsia"/>
          <w:szCs w:val="21"/>
        </w:rPr>
        <w:t>本项目将推荐通过资格性符合性审查，且报价最低的供应商为项目的成交供应商</w:t>
      </w:r>
      <w:r>
        <w:rPr>
          <w:rStyle w:val="9"/>
          <w:szCs w:val="21"/>
        </w:rPr>
        <w:t>。</w:t>
      </w:r>
    </w:p>
    <w:p>
      <w:pPr>
        <w:spacing w:before="312" w:beforeLines="100" w:after="156" w:afterLines="50"/>
        <w:outlineLvl w:val="1"/>
        <w:rPr>
          <w:rStyle w:val="9"/>
          <w:b/>
        </w:rPr>
      </w:pPr>
      <w:r>
        <w:rPr>
          <w:rStyle w:val="9"/>
          <w:rFonts w:hint="eastAsia"/>
          <w:b/>
          <w:lang w:val="en-US" w:eastAsia="zh-CN"/>
        </w:rPr>
        <w:t>八</w:t>
      </w:r>
      <w:r>
        <w:rPr>
          <w:rStyle w:val="9"/>
          <w:rFonts w:hint="eastAsia"/>
          <w:b/>
        </w:rPr>
        <w:t>、其他</w:t>
      </w:r>
    </w:p>
    <w:p>
      <w:pPr>
        <w:ind w:firstLine="480" w:firstLineChars="200"/>
        <w:rPr>
          <w:rStyle w:val="9"/>
          <w:szCs w:val="21"/>
        </w:rPr>
      </w:pPr>
      <w:r>
        <w:rPr>
          <w:rStyle w:val="9"/>
          <w:rFonts w:hint="eastAsia"/>
          <w:szCs w:val="21"/>
        </w:rPr>
        <w:t>1.成交结果确定后，采购人将在广东省教育部门协议采购电子管理系统执行教育部门协议采购。</w:t>
      </w:r>
    </w:p>
    <w:p>
      <w:pPr>
        <w:ind w:firstLine="480" w:firstLineChars="200"/>
        <w:rPr>
          <w:rStyle w:val="9"/>
          <w:szCs w:val="21"/>
        </w:rPr>
      </w:pPr>
      <w:r>
        <w:rPr>
          <w:rStyle w:val="9"/>
          <w:rFonts w:hint="eastAsia"/>
          <w:szCs w:val="21"/>
        </w:rPr>
        <w:t>2.成交供应商应在广东省教育部门协议采购电子管理系统按成交报价录入相关资料，便于采购人执行教育部门协议采购，生成采购合同。</w:t>
      </w:r>
    </w:p>
    <w:p>
      <w:pPr>
        <w:ind w:firstLine="480" w:firstLineChars="200"/>
        <w:rPr>
          <w:rStyle w:val="9"/>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BC"/>
    <w:rsid w:val="0001784D"/>
    <w:rsid w:val="000230AF"/>
    <w:rsid w:val="000417AB"/>
    <w:rsid w:val="000450AE"/>
    <w:rsid w:val="0005750E"/>
    <w:rsid w:val="000826EB"/>
    <w:rsid w:val="00084074"/>
    <w:rsid w:val="000A0309"/>
    <w:rsid w:val="000A2726"/>
    <w:rsid w:val="000A402C"/>
    <w:rsid w:val="000D12F6"/>
    <w:rsid w:val="000D1E77"/>
    <w:rsid w:val="000D5AF3"/>
    <w:rsid w:val="000E055B"/>
    <w:rsid w:val="000E7523"/>
    <w:rsid w:val="00107655"/>
    <w:rsid w:val="001105EA"/>
    <w:rsid w:val="00111E81"/>
    <w:rsid w:val="001260B0"/>
    <w:rsid w:val="00131161"/>
    <w:rsid w:val="001570E3"/>
    <w:rsid w:val="001631A9"/>
    <w:rsid w:val="0016795F"/>
    <w:rsid w:val="00186E21"/>
    <w:rsid w:val="00187FC2"/>
    <w:rsid w:val="00190AF8"/>
    <w:rsid w:val="00195646"/>
    <w:rsid w:val="001A200F"/>
    <w:rsid w:val="001B0A85"/>
    <w:rsid w:val="001B7D0C"/>
    <w:rsid w:val="001E7789"/>
    <w:rsid w:val="001F2C84"/>
    <w:rsid w:val="00217574"/>
    <w:rsid w:val="00235D97"/>
    <w:rsid w:val="00241C46"/>
    <w:rsid w:val="0027090B"/>
    <w:rsid w:val="00273A1A"/>
    <w:rsid w:val="002818B4"/>
    <w:rsid w:val="002A11BC"/>
    <w:rsid w:val="002C1A54"/>
    <w:rsid w:val="002D699C"/>
    <w:rsid w:val="0035530A"/>
    <w:rsid w:val="0036735C"/>
    <w:rsid w:val="003843D9"/>
    <w:rsid w:val="00384D0F"/>
    <w:rsid w:val="003942D0"/>
    <w:rsid w:val="003954FD"/>
    <w:rsid w:val="003B2932"/>
    <w:rsid w:val="003C4807"/>
    <w:rsid w:val="003D6C14"/>
    <w:rsid w:val="003E0DC1"/>
    <w:rsid w:val="003F093F"/>
    <w:rsid w:val="003F0C10"/>
    <w:rsid w:val="003F61DB"/>
    <w:rsid w:val="00401C78"/>
    <w:rsid w:val="00406B9F"/>
    <w:rsid w:val="00413987"/>
    <w:rsid w:val="00416F78"/>
    <w:rsid w:val="00425D98"/>
    <w:rsid w:val="00427546"/>
    <w:rsid w:val="00486DA6"/>
    <w:rsid w:val="00496A3E"/>
    <w:rsid w:val="004A6348"/>
    <w:rsid w:val="004A79BB"/>
    <w:rsid w:val="004B6299"/>
    <w:rsid w:val="004D608C"/>
    <w:rsid w:val="004F3331"/>
    <w:rsid w:val="004F615F"/>
    <w:rsid w:val="00514AAD"/>
    <w:rsid w:val="00563C80"/>
    <w:rsid w:val="005743B1"/>
    <w:rsid w:val="0058257E"/>
    <w:rsid w:val="0059032A"/>
    <w:rsid w:val="005B353E"/>
    <w:rsid w:val="005B490B"/>
    <w:rsid w:val="005E1CC7"/>
    <w:rsid w:val="0060735D"/>
    <w:rsid w:val="006106FD"/>
    <w:rsid w:val="00614E60"/>
    <w:rsid w:val="00621572"/>
    <w:rsid w:val="00654F9D"/>
    <w:rsid w:val="0066773C"/>
    <w:rsid w:val="00674184"/>
    <w:rsid w:val="00687E0C"/>
    <w:rsid w:val="00690BD0"/>
    <w:rsid w:val="00696635"/>
    <w:rsid w:val="0069682C"/>
    <w:rsid w:val="006A60F2"/>
    <w:rsid w:val="006A7C32"/>
    <w:rsid w:val="006B1771"/>
    <w:rsid w:val="006D5DAC"/>
    <w:rsid w:val="006E7CD4"/>
    <w:rsid w:val="006F3DA7"/>
    <w:rsid w:val="00710AC1"/>
    <w:rsid w:val="00727D16"/>
    <w:rsid w:val="00737870"/>
    <w:rsid w:val="007418BF"/>
    <w:rsid w:val="00746093"/>
    <w:rsid w:val="00746578"/>
    <w:rsid w:val="007537DF"/>
    <w:rsid w:val="0075524D"/>
    <w:rsid w:val="007707E9"/>
    <w:rsid w:val="00781AC6"/>
    <w:rsid w:val="0079331E"/>
    <w:rsid w:val="007C13B8"/>
    <w:rsid w:val="007D2E6C"/>
    <w:rsid w:val="007F6CD7"/>
    <w:rsid w:val="00807A7F"/>
    <w:rsid w:val="00824829"/>
    <w:rsid w:val="00833533"/>
    <w:rsid w:val="0083563E"/>
    <w:rsid w:val="0083694A"/>
    <w:rsid w:val="00844C15"/>
    <w:rsid w:val="00856237"/>
    <w:rsid w:val="008603C5"/>
    <w:rsid w:val="008605FB"/>
    <w:rsid w:val="00890C3E"/>
    <w:rsid w:val="008A2CCF"/>
    <w:rsid w:val="008B3396"/>
    <w:rsid w:val="008C4D3F"/>
    <w:rsid w:val="008D6779"/>
    <w:rsid w:val="008D7C50"/>
    <w:rsid w:val="008E14C8"/>
    <w:rsid w:val="008F0236"/>
    <w:rsid w:val="00910B05"/>
    <w:rsid w:val="009239C6"/>
    <w:rsid w:val="009416D4"/>
    <w:rsid w:val="00945530"/>
    <w:rsid w:val="00967519"/>
    <w:rsid w:val="00967F4F"/>
    <w:rsid w:val="009739D2"/>
    <w:rsid w:val="009877DB"/>
    <w:rsid w:val="009B076F"/>
    <w:rsid w:val="009B4BD1"/>
    <w:rsid w:val="009E69B0"/>
    <w:rsid w:val="00A255AF"/>
    <w:rsid w:val="00A40CBE"/>
    <w:rsid w:val="00A46AA7"/>
    <w:rsid w:val="00A53AB5"/>
    <w:rsid w:val="00A56C05"/>
    <w:rsid w:val="00A62A91"/>
    <w:rsid w:val="00A73BC5"/>
    <w:rsid w:val="00A75322"/>
    <w:rsid w:val="00A92C5F"/>
    <w:rsid w:val="00AA5F13"/>
    <w:rsid w:val="00AB00DB"/>
    <w:rsid w:val="00AD3DCB"/>
    <w:rsid w:val="00AD4511"/>
    <w:rsid w:val="00AE05DF"/>
    <w:rsid w:val="00AE16A6"/>
    <w:rsid w:val="00AE6579"/>
    <w:rsid w:val="00AF0E58"/>
    <w:rsid w:val="00B03722"/>
    <w:rsid w:val="00B10572"/>
    <w:rsid w:val="00B160A5"/>
    <w:rsid w:val="00B2143B"/>
    <w:rsid w:val="00B245E6"/>
    <w:rsid w:val="00B401D0"/>
    <w:rsid w:val="00B41276"/>
    <w:rsid w:val="00B4793C"/>
    <w:rsid w:val="00B51FC7"/>
    <w:rsid w:val="00B848DD"/>
    <w:rsid w:val="00B909B4"/>
    <w:rsid w:val="00B9165C"/>
    <w:rsid w:val="00BB6303"/>
    <w:rsid w:val="00BD4981"/>
    <w:rsid w:val="00BF5033"/>
    <w:rsid w:val="00C02F36"/>
    <w:rsid w:val="00C1003F"/>
    <w:rsid w:val="00C10869"/>
    <w:rsid w:val="00C110A5"/>
    <w:rsid w:val="00C548D1"/>
    <w:rsid w:val="00CA4C91"/>
    <w:rsid w:val="00CA6DB3"/>
    <w:rsid w:val="00CE5ED3"/>
    <w:rsid w:val="00CF1074"/>
    <w:rsid w:val="00CF44CF"/>
    <w:rsid w:val="00D03BE7"/>
    <w:rsid w:val="00D175A2"/>
    <w:rsid w:val="00D17EB8"/>
    <w:rsid w:val="00D36B3A"/>
    <w:rsid w:val="00D41623"/>
    <w:rsid w:val="00D43478"/>
    <w:rsid w:val="00D6077B"/>
    <w:rsid w:val="00D94B50"/>
    <w:rsid w:val="00DB211C"/>
    <w:rsid w:val="00DB53F1"/>
    <w:rsid w:val="00DC442C"/>
    <w:rsid w:val="00DD1E71"/>
    <w:rsid w:val="00DE26B2"/>
    <w:rsid w:val="00DE2E5F"/>
    <w:rsid w:val="00E004AC"/>
    <w:rsid w:val="00E32A82"/>
    <w:rsid w:val="00E32CF0"/>
    <w:rsid w:val="00E477AF"/>
    <w:rsid w:val="00E6292D"/>
    <w:rsid w:val="00E636DF"/>
    <w:rsid w:val="00E753B6"/>
    <w:rsid w:val="00E819BC"/>
    <w:rsid w:val="00E854FC"/>
    <w:rsid w:val="00EA0AD9"/>
    <w:rsid w:val="00EA4469"/>
    <w:rsid w:val="00ED1445"/>
    <w:rsid w:val="00EF7D73"/>
    <w:rsid w:val="00F00BB7"/>
    <w:rsid w:val="00F17C84"/>
    <w:rsid w:val="00F232B0"/>
    <w:rsid w:val="00F24CFE"/>
    <w:rsid w:val="00F41F27"/>
    <w:rsid w:val="00F457C1"/>
    <w:rsid w:val="00F53B30"/>
    <w:rsid w:val="00F55439"/>
    <w:rsid w:val="00F67772"/>
    <w:rsid w:val="00F71DD2"/>
    <w:rsid w:val="00F73D96"/>
    <w:rsid w:val="00F93E6C"/>
    <w:rsid w:val="00F97E0B"/>
    <w:rsid w:val="00FD0172"/>
    <w:rsid w:val="00FD0C99"/>
    <w:rsid w:val="00FD57B4"/>
    <w:rsid w:val="00FE06DF"/>
    <w:rsid w:val="00FF2669"/>
    <w:rsid w:val="00FF55EB"/>
    <w:rsid w:val="01B736AB"/>
    <w:rsid w:val="3971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本文正文 Char1 Char Char Char Char Char Char Char Char Char Char Char Char Char Char Char Char Char Char Char Char Char Char Char Char Char Char"/>
    <w:link w:val="10"/>
    <w:qFormat/>
    <w:locked/>
    <w:uiPriority w:val="0"/>
    <w:rPr>
      <w:rFonts w:ascii="宋体" w:hAnsi="宋体" w:eastAsia="宋体"/>
      <w:sz w:val="24"/>
      <w:szCs w:val="24"/>
    </w:rPr>
  </w:style>
  <w:style w:type="paragraph" w:customStyle="1" w:styleId="10">
    <w:name w:val="本文正文 Char1 Char Char Char Char Char Char Char Char Char Char Char Char Char Char Char Char Char Char Char Char Char Char Char Char"/>
    <w:basedOn w:val="1"/>
    <w:link w:val="9"/>
    <w:uiPriority w:val="0"/>
    <w:pPr>
      <w:widowControl/>
      <w:spacing w:line="480" w:lineRule="exact"/>
      <w:ind w:firstLine="200" w:firstLineChars="200"/>
      <w:jc w:val="left"/>
    </w:pPr>
    <w:rPr>
      <w:rFonts w:ascii="宋体" w:hAnsi="宋体" w:cstheme="minorBidi"/>
      <w:sz w:val="24"/>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200</Words>
  <Characters>1144</Characters>
  <Lines>9</Lines>
  <Paragraphs>2</Paragraphs>
  <TotalTime>1</TotalTime>
  <ScaleCrop>false</ScaleCrop>
  <LinksUpToDate>false</LinksUpToDate>
  <CharactersWithSpaces>1342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2020-07-27T03:55:00Z</dcterms:created>
  <dc:creator>苏振国</dc:creator>
  <cp:lastModifiedBy>飞翔</cp:lastModifiedBy>
  <dcterms:modified xsi:type="dcterms:W3CDTF">2020-08-09T04:59:50Z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